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before="33" w:line="400" w:lineRule="exact"/>
        <w:rPr>
          <w:rFonts w:hint="eastAsia" w:ascii="宋体" w:hAnsi="宋体"/>
          <w:b/>
          <w:bCs/>
          <w:color w:val="auto"/>
          <w:spacing w:val="80"/>
          <w:sz w:val="30"/>
          <w:highlight w:val="none"/>
        </w:rPr>
      </w:pPr>
      <w:r/>
      <w:bookmarkStart w:id="32" w:name="_GoBack"/>
      <w:r/>
      <w:r/>
    </w:p>
    <w:p>
      <w:pPr>
        <w:ind w:firstLine="0"/>
        <w:rPr>
          <w:rFonts w:hint="eastAsia" w:ascii="宋体" w:hAnsi="宋体"/>
          <w:b/>
          <w:bCs/>
          <w:color w:val="auto"/>
          <w:spacing w:val="16"/>
          <w:sz w:val="44"/>
          <w:highlight w:val="none"/>
        </w:rPr>
      </w:pPr>
      <w:r>
        <w:rPr>
          <w:rFonts w:hint="eastAsia" w:ascii="宋体" w:hAnsi="宋体"/>
          <w:b/>
          <w:bCs/>
          <w:color w:val="auto"/>
          <w:spacing w:val="16"/>
          <w:sz w:val="44"/>
          <w:highlight w:val="none"/>
        </w:rPr>
      </w:r>
      <w:r/>
    </w:p>
    <w:p>
      <w:pPr>
        <w:ind w:firstLine="0"/>
        <w:jc w:val="center"/>
        <w:rPr>
          <w:rFonts w:hint="eastAsia" w:ascii="黑体" w:hAnsi="黑体" w:eastAsia="黑体" w:cs="黑体"/>
          <w:b/>
          <w:bCs/>
          <w:color w:val="auto"/>
          <w:spacing w:val="80"/>
          <w:sz w:val="72"/>
          <w:szCs w:val="72"/>
          <w:highlight w:val="none"/>
        </w:rPr>
      </w:pPr>
      <w:r>
        <w:rPr>
          <w:rFonts w:hint="eastAsia" w:ascii="黑体" w:hAnsi="黑体" w:eastAsia="黑体" w:cs="黑体"/>
          <w:b/>
          <w:bCs/>
          <w:color w:val="auto"/>
          <w:spacing w:val="80"/>
          <w:sz w:val="72"/>
          <w:szCs w:val="72"/>
          <w:highlight w:val="none"/>
        </w:rPr>
        <w:t xml:space="preserve">招</w:t>
      </w:r>
      <w:r>
        <w:rPr>
          <w:rFonts w:hint="eastAsia" w:ascii="黑体" w:hAnsi="黑体" w:eastAsia="黑体" w:cs="黑体"/>
          <w:b/>
          <w:bCs/>
          <w:color w:val="auto"/>
          <w:spacing w:val="80"/>
          <w:sz w:val="72"/>
          <w:szCs w:val="72"/>
          <w:highlight w:val="none"/>
          <w:lang w:val="en-US" w:eastAsia="zh-CN"/>
        </w:rPr>
        <w:t xml:space="preserve"> </w:t>
      </w:r>
      <w:r>
        <w:rPr>
          <w:rFonts w:hint="eastAsia" w:ascii="黑体" w:hAnsi="黑体" w:eastAsia="黑体" w:cs="黑体"/>
          <w:b/>
          <w:bCs/>
          <w:color w:val="auto"/>
          <w:spacing w:val="80"/>
          <w:sz w:val="72"/>
          <w:szCs w:val="72"/>
          <w:highlight w:val="none"/>
        </w:rPr>
        <w:t xml:space="preserve">标</w:t>
      </w:r>
      <w:r>
        <w:rPr>
          <w:rFonts w:hint="eastAsia" w:ascii="黑体" w:hAnsi="黑体" w:eastAsia="黑体" w:cs="黑体"/>
          <w:b/>
          <w:bCs/>
          <w:color w:val="auto"/>
          <w:spacing w:val="80"/>
          <w:sz w:val="72"/>
          <w:szCs w:val="72"/>
          <w:highlight w:val="none"/>
          <w:lang w:val="en-US" w:eastAsia="zh-CN"/>
        </w:rPr>
        <w:t xml:space="preserve"> </w:t>
      </w:r>
      <w:r>
        <w:rPr>
          <w:rFonts w:hint="eastAsia" w:ascii="黑体" w:hAnsi="黑体" w:eastAsia="黑体" w:cs="黑体"/>
          <w:b/>
          <w:bCs/>
          <w:color w:val="auto"/>
          <w:spacing w:val="80"/>
          <w:sz w:val="72"/>
          <w:szCs w:val="72"/>
          <w:highlight w:val="none"/>
        </w:rPr>
        <w:t xml:space="preserve">文</w:t>
      </w:r>
      <w:r>
        <w:rPr>
          <w:rFonts w:hint="eastAsia" w:ascii="黑体" w:hAnsi="黑体" w:eastAsia="黑体" w:cs="黑体"/>
          <w:b/>
          <w:bCs/>
          <w:color w:val="auto"/>
          <w:spacing w:val="80"/>
          <w:sz w:val="72"/>
          <w:szCs w:val="72"/>
          <w:highlight w:val="none"/>
          <w:lang w:val="en-US" w:eastAsia="zh-CN"/>
        </w:rPr>
        <w:t xml:space="preserve"> </w:t>
      </w:r>
      <w:r>
        <w:rPr>
          <w:rFonts w:hint="eastAsia" w:ascii="黑体" w:hAnsi="黑体" w:eastAsia="黑体" w:cs="黑体"/>
          <w:b/>
          <w:bCs/>
          <w:color w:val="auto"/>
          <w:spacing w:val="80"/>
          <w:sz w:val="72"/>
          <w:szCs w:val="72"/>
          <w:highlight w:val="none"/>
        </w:rPr>
        <w:t xml:space="preserve">件</w:t>
      </w:r>
      <w:r/>
    </w:p>
    <w:p>
      <w:pPr>
        <w:ind w:firstLine="947"/>
        <w:rPr>
          <w:rFonts w:ascii="宋体" w:hAnsi="宋体"/>
          <w:b/>
          <w:bCs/>
          <w:color w:val="auto"/>
          <w:spacing w:val="16"/>
          <w:sz w:val="44"/>
          <w:highlight w:val="none"/>
        </w:rPr>
      </w:pPr>
      <w:r>
        <w:rPr>
          <w:rFonts w:ascii="宋体" w:hAnsi="宋体"/>
          <w:b/>
          <w:bCs/>
          <w:color w:val="auto"/>
          <w:spacing w:val="16"/>
          <w:sz w:val="44"/>
          <w:highlight w:val="none"/>
        </w:rPr>
      </w:r>
      <w:r/>
    </w:p>
    <w:p>
      <w:pPr>
        <w:ind w:firstLine="947"/>
        <w:rPr>
          <w:rFonts w:ascii="宋体" w:hAnsi="宋体"/>
          <w:b/>
          <w:bCs/>
          <w:color w:val="auto"/>
          <w:spacing w:val="16"/>
          <w:sz w:val="44"/>
          <w:highlight w:val="none"/>
        </w:rPr>
      </w:pPr>
      <w:r>
        <w:rPr>
          <w:rFonts w:ascii="宋体" w:hAnsi="宋体"/>
          <w:b/>
          <w:bCs/>
          <w:color w:val="auto"/>
          <w:spacing w:val="16"/>
          <w:sz w:val="44"/>
          <w:highlight w:val="none"/>
        </w:rPr>
      </w:r>
      <w:r/>
    </w:p>
    <w:p>
      <w:pPr>
        <w:pStyle w:val="845"/>
        <w:rPr>
          <w:rFonts w:hint="eastAsia"/>
          <w:color w:val="auto"/>
          <w:highlight w:val="none"/>
        </w:rPr>
      </w:pPr>
      <w:r>
        <w:rPr>
          <w:rFonts w:hint="eastAsia"/>
          <w:color w:val="auto"/>
          <w:highlight w:val="none"/>
        </w:rPr>
      </w:r>
      <w:r/>
    </w:p>
    <w:p>
      <w:pPr>
        <w:pStyle w:val="845"/>
        <w:rPr>
          <w:rFonts w:hint="eastAsia"/>
          <w:color w:val="auto"/>
          <w:highlight w:val="none"/>
        </w:rPr>
      </w:pPr>
      <w:r>
        <w:rPr>
          <w:rFonts w:hint="eastAsia"/>
          <w:color w:val="auto"/>
          <w:highlight w:val="none"/>
        </w:rPr>
      </w:r>
      <w:r/>
    </w:p>
    <w:p>
      <w:pPr>
        <w:ind w:firstLine="0"/>
        <w:rPr>
          <w:rFonts w:hint="eastAsia" w:ascii="宋体" w:hAnsi="宋体"/>
          <w:b/>
          <w:bCs/>
          <w:color w:val="auto"/>
          <w:spacing w:val="16"/>
          <w:sz w:val="44"/>
          <w:highlight w:val="none"/>
        </w:rPr>
      </w:pPr>
      <w:r>
        <w:rPr>
          <w:rFonts w:hint="eastAsia" w:ascii="宋体" w:hAnsi="宋体"/>
          <w:b/>
          <w:bCs/>
          <w:color w:val="auto"/>
          <w:spacing w:val="16"/>
          <w:sz w:val="44"/>
          <w:highlight w:val="none"/>
        </w:rPr>
      </w:r>
      <w:r/>
    </w:p>
    <w:p>
      <w:pPr>
        <w:ind w:left="3004" w:hanging="1526"/>
        <w:rPr>
          <w:rFonts w:hint="eastAsia" w:ascii="宋体" w:hAnsi="宋体" w:eastAsia="宋体" w:cs="宋体"/>
          <w:b/>
          <w:bCs/>
          <w:color w:val="auto"/>
          <w:spacing w:val="0"/>
          <w:sz w:val="32"/>
          <w:szCs w:val="24"/>
          <w:highlight w:val="none"/>
          <w:lang w:val="en-US" w:eastAsia="zh-CN" w:bidi="ar-SA"/>
        </w:rPr>
      </w:pPr>
      <w:r>
        <w:rPr>
          <w:rFonts w:hint="eastAsia" w:ascii="宋体" w:hAnsi="宋体" w:eastAsia="宋体" w:cs="宋体"/>
          <w:b/>
          <w:bCs/>
          <w:color w:val="auto"/>
          <w:spacing w:val="0"/>
          <w:sz w:val="32"/>
          <w:highlight w:val="none"/>
          <w:lang w:eastAsia="zh-CN"/>
        </w:rPr>
        <w:t xml:space="preserve">项目</w:t>
      </w:r>
      <w:r>
        <w:rPr>
          <w:rFonts w:hint="eastAsia" w:ascii="宋体" w:hAnsi="宋体" w:eastAsia="宋体" w:cs="宋体"/>
          <w:b/>
          <w:bCs/>
          <w:color w:val="auto"/>
          <w:spacing w:val="0"/>
          <w:sz w:val="32"/>
          <w:highlight w:val="none"/>
        </w:rPr>
        <w:t xml:space="preserve">名称：</w:t>
      </w:r>
      <w:r>
        <w:rPr>
          <w:rFonts w:hint="eastAsia" w:ascii="宋体" w:hAnsi="宋体" w:cs="宋体"/>
          <w:b/>
          <w:bCs/>
          <w:color w:val="auto"/>
          <w:spacing w:val="0"/>
          <w:sz w:val="32"/>
          <w:szCs w:val="24"/>
          <w:highlight w:val="none"/>
          <w:lang w:val="en-US" w:eastAsia="zh-CN" w:bidi="ar-SA"/>
        </w:rPr>
        <w:t xml:space="preserve">海州湾小学信息化及安全设备采购</w:t>
      </w:r>
      <w:r/>
    </w:p>
    <w:p>
      <w:pPr>
        <w:ind w:left="840" w:firstLine="613"/>
        <w:rPr>
          <w:rFonts w:hint="eastAsia" w:ascii="宋体" w:hAnsi="宋体" w:eastAsia="宋体" w:cs="宋体"/>
          <w:b/>
          <w:bCs/>
          <w:color w:val="auto"/>
          <w:spacing w:val="0"/>
          <w:sz w:val="32"/>
          <w:szCs w:val="24"/>
          <w:highlight w:val="none"/>
          <w:lang w:val="en-US" w:eastAsia="zh-CN" w:bidi="ar-SA"/>
        </w:rPr>
      </w:pPr>
      <w:r>
        <w:rPr>
          <w:rFonts w:hint="eastAsia" w:ascii="宋体" w:hAnsi="宋体" w:eastAsia="宋体" w:cs="宋体"/>
          <w:b/>
          <w:bCs/>
          <w:color w:val="auto"/>
          <w:spacing w:val="0"/>
          <w:sz w:val="32"/>
          <w:highlight w:val="none"/>
          <w:lang w:eastAsia="zh-CN"/>
        </w:rPr>
        <w:t xml:space="preserve">项目编号：</w:t>
      </w:r>
      <w:r>
        <w:rPr>
          <w:rFonts w:hint="eastAsia" w:ascii="宋体" w:hAnsi="宋体" w:cs="宋体"/>
          <w:b/>
          <w:bCs/>
          <w:color w:val="auto"/>
          <w:spacing w:val="0"/>
          <w:sz w:val="32"/>
          <w:szCs w:val="24"/>
          <w:highlight w:val="none"/>
          <w:lang w:val="en-US" w:eastAsia="zh-CN" w:bidi="ar-SA"/>
        </w:rPr>
        <w:t xml:space="preserve">JSZC-320703-SHGS-G2025-0014</w:t>
      </w:r>
      <w:r/>
    </w:p>
    <w:p>
      <w:pPr>
        <w:ind w:left="840" w:firstLine="613"/>
        <w:rPr>
          <w:rFonts w:hint="eastAsia" w:ascii="宋体" w:hAnsi="宋体" w:eastAsia="宋体"/>
          <w:b/>
          <w:bCs/>
          <w:color w:val="auto"/>
          <w:sz w:val="32"/>
          <w:highlight w:val="none"/>
          <w:lang w:eastAsia="zh-CN"/>
        </w:rPr>
      </w:pPr>
      <w:r>
        <w:rPr>
          <w:rFonts w:hint="eastAsia" w:ascii="宋体" w:hAnsi="宋体" w:eastAsia="宋体"/>
          <w:b/>
          <w:bCs/>
          <w:color w:val="auto"/>
          <w:sz w:val="32"/>
          <w:highlight w:val="none"/>
          <w:lang w:eastAsia="zh-CN"/>
        </w:rPr>
      </w:r>
      <w:r/>
    </w:p>
    <w:p>
      <w:pPr>
        <w:ind w:firstLine="0"/>
        <w:rPr>
          <w:rFonts w:hint="eastAsia" w:ascii="宋体" w:hAnsi="宋体"/>
          <w:color w:val="auto"/>
          <w:highlight w:val="none"/>
        </w:rPr>
      </w:pPr>
      <w:r>
        <w:rPr>
          <w:rFonts w:hint="eastAsia" w:ascii="宋体" w:hAnsi="宋体"/>
          <w:color w:val="auto"/>
          <w:highlight w:val="none"/>
        </w:rPr>
      </w:r>
      <w:r/>
    </w:p>
    <w:p>
      <w:pPr>
        <w:pStyle w:val="1035"/>
        <w:ind w:right="-993" w:firstLine="0"/>
        <w:rPr>
          <w:rFonts w:hint="eastAsia" w:hAnsi="宋体"/>
          <w:color w:val="auto"/>
          <w:highlight w:val="none"/>
        </w:rPr>
      </w:pPr>
      <w:r>
        <w:rPr>
          <w:rFonts w:hint="eastAsia" w:hAnsi="宋体"/>
          <w:color w:val="auto"/>
          <w:highlight w:val="none"/>
        </w:rPr>
      </w:r>
      <w:r/>
    </w:p>
    <w:p>
      <w:pPr>
        <w:pStyle w:val="1035"/>
        <w:ind w:right="-993" w:firstLine="0"/>
        <w:rPr>
          <w:rFonts w:hint="eastAsia" w:hAnsi="宋体"/>
          <w:color w:val="auto"/>
          <w:highlight w:val="none"/>
        </w:rPr>
      </w:pPr>
      <w:r>
        <w:rPr>
          <w:rFonts w:hint="eastAsia" w:hAnsi="宋体"/>
          <w:color w:val="auto"/>
          <w:highlight w:val="none"/>
        </w:rPr>
      </w:r>
      <w:r/>
    </w:p>
    <w:p>
      <w:pPr>
        <w:pStyle w:val="1035"/>
        <w:ind w:right="-993" w:firstLine="0"/>
        <w:rPr>
          <w:rFonts w:hint="eastAsia" w:hAnsi="宋体"/>
          <w:color w:val="auto"/>
          <w:highlight w:val="none"/>
        </w:rPr>
      </w:pPr>
      <w:r>
        <w:rPr>
          <w:rFonts w:hint="eastAsia" w:hAnsi="宋体"/>
          <w:color w:val="auto"/>
          <w:highlight w:val="none"/>
        </w:rPr>
      </w:r>
      <w:r/>
    </w:p>
    <w:p>
      <w:pPr>
        <w:pStyle w:val="1035"/>
        <w:ind w:right="-993" w:firstLine="0"/>
        <w:rPr>
          <w:rFonts w:hint="eastAsia" w:hAnsi="宋体"/>
          <w:color w:val="auto"/>
          <w:highlight w:val="none"/>
        </w:rPr>
      </w:pPr>
      <w:r>
        <w:rPr>
          <w:rFonts w:hint="eastAsia" w:hAnsi="宋体"/>
          <w:color w:val="auto"/>
          <w:highlight w:val="none"/>
        </w:rPr>
      </w:r>
      <w:r/>
    </w:p>
    <w:p>
      <w:pPr>
        <w:pStyle w:val="1085"/>
        <w:ind w:left="840" w:firstLine="643"/>
        <w:jc w:val="both"/>
        <w:rPr>
          <w:rFonts w:hint="eastAsia" w:ascii="Arial" w:hAnsi="Arial" w:eastAsia="宋体" w:cs="Times New Roman"/>
          <w:b/>
          <w:bCs/>
          <w:color w:val="auto"/>
          <w:sz w:val="32"/>
          <w:highlight w:val="none"/>
          <w:lang w:eastAsia="zh-CN"/>
        </w:rPr>
      </w:pPr>
      <w:r>
        <w:rPr>
          <w:rFonts w:hint="eastAsia"/>
          <w:b/>
          <w:bCs/>
          <w:color w:val="auto"/>
          <w:sz w:val="32"/>
          <w:highlight w:val="none"/>
        </w:rPr>
        <w:t xml:space="preserve">采   购   人：</w:t>
      </w:r>
      <w:r>
        <w:rPr>
          <w:rFonts w:hint="eastAsia" w:ascii="Arial" w:hAnsi="Arial" w:eastAsia="宋体" w:cs="Times New Roman"/>
          <w:b/>
          <w:bCs/>
          <w:color w:val="auto"/>
          <w:sz w:val="32"/>
          <w:highlight w:val="none"/>
          <w:lang w:eastAsia="zh-CN"/>
        </w:rPr>
        <w:t xml:space="preserve">连云港市海州湾小学</w:t>
      </w:r>
      <w:r/>
    </w:p>
    <w:p>
      <w:pPr>
        <w:pStyle w:val="1085"/>
        <w:ind w:left="840" w:firstLine="643"/>
        <w:rPr>
          <w:rFonts w:hint="eastAsia"/>
          <w:b/>
          <w:bCs/>
          <w:color w:val="auto"/>
          <w:spacing w:val="-20"/>
          <w:sz w:val="32"/>
          <w:highlight w:val="none"/>
          <w:lang w:eastAsia="zh-CN"/>
        </w:rPr>
      </w:pPr>
      <w:r>
        <w:rPr>
          <w:rFonts w:hint="eastAsia"/>
          <w:b/>
          <w:bCs/>
          <w:color w:val="auto"/>
          <w:sz w:val="32"/>
          <w:highlight w:val="none"/>
          <w:lang w:eastAsia="zh-CN"/>
        </w:rPr>
        <w:t xml:space="preserve">采购代理机构</w:t>
      </w:r>
      <w:r>
        <w:rPr>
          <w:rFonts w:hint="eastAsia"/>
          <w:b/>
          <w:bCs/>
          <w:color w:val="auto"/>
          <w:sz w:val="32"/>
          <w:highlight w:val="none"/>
        </w:rPr>
        <w:t xml:space="preserve">：</w:t>
      </w:r>
      <w:r>
        <w:rPr>
          <w:rFonts w:hint="eastAsia"/>
          <w:b/>
          <w:bCs/>
          <w:color w:val="auto"/>
          <w:spacing w:val="-20"/>
          <w:sz w:val="32"/>
          <w:highlight w:val="none"/>
          <w:lang w:eastAsia="zh-CN"/>
        </w:rPr>
        <w:t xml:space="preserve">连云港上和工程咨询有限公司</w:t>
      </w:r>
      <w:r/>
    </w:p>
    <w:p>
      <w:pPr>
        <w:pStyle w:val="1085"/>
        <w:ind w:left="840" w:firstLine="643"/>
        <w:rPr>
          <w:b/>
          <w:bCs/>
          <w:color w:val="auto"/>
          <w:sz w:val="32"/>
          <w:highlight w:val="none"/>
        </w:rPr>
      </w:pPr>
      <w:r>
        <w:rPr>
          <w:b/>
          <w:bCs/>
          <w:color w:val="auto"/>
          <w:sz w:val="32"/>
          <w:highlight w:val="none"/>
        </w:rPr>
      </w:r>
      <w:r/>
    </w:p>
    <w:p>
      <w:pPr>
        <w:pStyle w:val="1035"/>
        <w:ind w:firstLine="0"/>
        <w:jc w:val="center"/>
        <w:rPr>
          <w:rFonts w:hint="eastAsia" w:hAnsi="宋体" w:eastAsia="宋体"/>
          <w:b/>
          <w:color w:val="auto"/>
          <w:sz w:val="28"/>
          <w:szCs w:val="24"/>
          <w:highlight w:val="none"/>
          <w:lang w:eastAsia="zh-CN"/>
        </w:rPr>
      </w:pPr>
      <w:r>
        <w:rPr>
          <w:rFonts w:hint="eastAsia" w:hAnsi="宋体"/>
          <w:b/>
          <w:color w:val="auto"/>
          <w:sz w:val="28"/>
          <w:szCs w:val="24"/>
          <w:highlight w:val="none"/>
          <w:lang w:val="en-US" w:eastAsia="zh-CN"/>
        </w:rPr>
        <w:t xml:space="preserve">2025</w:t>
      </w:r>
      <w:r>
        <w:rPr>
          <w:rFonts w:hint="eastAsia" w:hAnsi="宋体"/>
          <w:b/>
          <w:color w:val="auto"/>
          <w:sz w:val="28"/>
          <w:szCs w:val="24"/>
          <w:highlight w:val="none"/>
        </w:rPr>
        <w:t xml:space="preserve">年</w:t>
      </w:r>
      <w:r>
        <w:rPr>
          <w:rFonts w:hint="eastAsia" w:hAnsi="宋体"/>
          <w:b/>
          <w:color w:val="auto"/>
          <w:sz w:val="28"/>
          <w:szCs w:val="24"/>
          <w:highlight w:val="none"/>
          <w:lang w:val="en-US" w:eastAsia="zh-CN"/>
        </w:rPr>
        <w:t xml:space="preserve">08</w:t>
      </w:r>
      <w:r>
        <w:rPr>
          <w:rFonts w:hint="eastAsia" w:hAnsi="宋体"/>
          <w:b/>
          <w:color w:val="auto"/>
          <w:sz w:val="28"/>
          <w:szCs w:val="24"/>
          <w:highlight w:val="none"/>
          <w:lang w:val="en-US" w:eastAsia="zh-CN"/>
        </w:rPr>
        <w:t xml:space="preserve">月</w:t>
      </w:r>
      <w:r/>
    </w:p>
    <w:p>
      <w:pPr>
        <w:pStyle w:val="1015"/>
        <w:numPr>
          <w:ilvl w:val="0"/>
          <w:numId w:val="0"/>
        </w:numPr>
        <w:rPr>
          <w:rFonts w:hint="eastAsia" w:hAnsi="宋体"/>
          <w:b w:val="0"/>
          <w:color w:val="auto"/>
          <w:highlight w:val="none"/>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134" w:right="1134" w:bottom="1134" w:left="1134" w:header="720" w:footer="720" w:gutter="0"/>
          <w:cols w:num="1" w:sep="0" w:space="1701" w:equalWidth="1"/>
          <w:docGrid w:linePitch="360"/>
          <w:titlePg/>
        </w:sectPr>
      </w:pPr>
      <w:r/>
      <w:bookmarkStart w:id="0" w:name="_Toc130911059"/>
      <w:r/>
      <w:bookmarkStart w:id="1" w:name="_Toc3580"/>
      <w:r/>
      <w:r/>
    </w:p>
    <w:p>
      <w:pPr>
        <w:pStyle w:val="1015"/>
        <w:numPr>
          <w:ilvl w:val="0"/>
          <w:numId w:val="0"/>
        </w:numPr>
        <w:rPr>
          <w:rFonts w:hint="eastAsia" w:hAnsi="宋体"/>
          <w:b w:val="0"/>
          <w:color w:val="auto"/>
          <w:highlight w:val="none"/>
        </w:rPr>
      </w:pPr>
      <w:r/>
      <w:bookmarkStart w:id="2" w:name="_Toc19676"/>
      <w:r/>
      <w:r/>
    </w:p>
    <w:p>
      <w:pPr>
        <w:pStyle w:val="1015"/>
        <w:numPr>
          <w:ilvl w:val="0"/>
          <w:numId w:val="0"/>
        </w:numPr>
        <w:rPr>
          <w:rFonts w:hint="eastAsia"/>
          <w:color w:val="auto"/>
          <w:highlight w:val="none"/>
        </w:rPr>
      </w:pPr>
      <w:r>
        <w:rPr>
          <w:rFonts w:hint="eastAsia" w:hAnsi="宋体"/>
          <w:b w:val="0"/>
          <w:color w:val="auto"/>
          <w:highlight w:val="none"/>
        </w:rPr>
        <w:t xml:space="preserve">目     录</w:t>
      </w:r>
      <w:bookmarkEnd w:id="0"/>
      <w:r/>
      <w:bookmarkEnd w:id="1"/>
      <w:r/>
      <w:bookmarkEnd w:id="2"/>
      <w:r/>
      <w:r/>
    </w:p>
    <w:p>
      <w:pPr>
        <w:pStyle w:val="1046"/>
        <w:tabs>
          <w:tab w:val="right" w:pos="9638" w:leader="dot"/>
        </w:tabs>
        <w:rPr>
          <w:i w:val="0"/>
          <w:iCs/>
          <w:color w:val="auto"/>
          <w:highlight w:val="none"/>
        </w:rPr>
      </w:pPr>
      <w:r>
        <w:rPr>
          <w:rFonts w:hint="eastAsia" w:ascii="宋体" w:hAnsi="宋体"/>
          <w:b w:val="0"/>
          <w:i w:val="0"/>
          <w:iCs/>
          <w:color w:val="auto"/>
          <w:sz w:val="28"/>
          <w:szCs w:val="28"/>
          <w:highlight w:val="none"/>
        </w:rPr>
        <w:fldChar w:fldCharType="begin"/>
      </w:r>
      <w:r>
        <w:rPr>
          <w:rFonts w:hint="eastAsia" w:ascii="宋体" w:hAnsi="宋体"/>
          <w:b w:val="0"/>
          <w:i w:val="0"/>
          <w:iCs/>
          <w:color w:val="auto"/>
          <w:sz w:val="28"/>
          <w:szCs w:val="28"/>
          <w:highlight w:val="none"/>
        </w:rPr>
        <w:instrText xml:space="preserve">TOC \o "1-1" \h \u </w:instrText>
      </w:r>
      <w:r>
        <w:rPr>
          <w:rFonts w:hint="eastAsia" w:ascii="宋体" w:hAnsi="宋体"/>
          <w:b w:val="0"/>
          <w:i w:val="0"/>
          <w:iCs/>
          <w:color w:val="auto"/>
          <w:sz w:val="28"/>
          <w:szCs w:val="28"/>
          <w:highlight w:val="none"/>
        </w:rPr>
        <w:fldChar w:fldCharType="separate"/>
      </w:r>
      <w:r>
        <w:rPr>
          <w:rFonts w:hint="eastAsia" w:hAnsi="宋体"/>
          <w:bCs w:val="0"/>
          <w:i w:val="0"/>
          <w:iCs/>
          <w:color w:val="auto"/>
          <w:szCs w:val="28"/>
          <w:highlight w:val="none"/>
        </w:rPr>
        <w:fldChar w:fldCharType="begin"/>
      </w:r>
      <w:r>
        <w:rPr>
          <w:rFonts w:hint="eastAsia" w:hAnsi="宋体"/>
          <w:bCs w:val="0"/>
          <w:i w:val="0"/>
          <w:iCs/>
          <w:color w:val="auto"/>
          <w:szCs w:val="28"/>
          <w:highlight w:val="none"/>
        </w:rPr>
        <w:instrText xml:space="preserve"> HYPERLINK \l _Toc26214 </w:instrText>
      </w:r>
      <w:r>
        <w:rPr>
          <w:rFonts w:hint="eastAsia" w:hAnsi="宋体"/>
          <w:bCs w:val="0"/>
          <w:i w:val="0"/>
          <w:iCs/>
          <w:color w:val="auto"/>
          <w:szCs w:val="28"/>
          <w:highlight w:val="none"/>
        </w:rPr>
        <w:fldChar w:fldCharType="separate"/>
      </w:r>
      <w:r>
        <w:rPr>
          <w:rFonts w:hint="eastAsia" w:hAnsi="宋体"/>
          <w:i w:val="0"/>
          <w:iCs/>
          <w:color w:val="auto"/>
          <w:highlight w:val="none"/>
        </w:rPr>
        <w:t xml:space="preserve">第一</w:t>
      </w:r>
      <w:r>
        <w:rPr>
          <w:rFonts w:hint="eastAsia" w:hAnsi="宋体" w:eastAsia="宋体" w:cs="Times New Roman"/>
          <w:b/>
          <w:bCs/>
          <w:i w:val="0"/>
          <w:iCs/>
          <w:color w:val="auto"/>
          <w:highlight w:val="none"/>
        </w:rPr>
        <w:t xml:space="preserve">章  投标</w:t>
      </w:r>
      <w:r>
        <w:rPr>
          <w:rFonts w:hint="eastAsia" w:hAnsi="宋体"/>
          <w:i w:val="0"/>
          <w:iCs/>
          <w:color w:val="auto"/>
          <w:highlight w:val="none"/>
        </w:rPr>
        <w:t xml:space="preserve">邀请</w:t>
      </w:r>
      <w:r>
        <w:rPr>
          <w:i w:val="0"/>
          <w:iCs/>
          <w:color w:val="auto"/>
          <w:highlight w:val="none"/>
        </w:rPr>
        <w:tab/>
      </w:r>
      <w:r>
        <w:rPr>
          <w:i w:val="0"/>
          <w:iCs/>
          <w:color w:val="auto"/>
          <w:highlight w:val="none"/>
        </w:rPr>
        <w:fldChar w:fldCharType="begin"/>
      </w:r>
      <w:r>
        <w:rPr>
          <w:i w:val="0"/>
          <w:iCs/>
          <w:color w:val="auto"/>
          <w:highlight w:val="none"/>
        </w:rPr>
        <w:instrText xml:space="preserve"> PAGEREF _Toc26214 \h </w:instrText>
      </w:r>
      <w:r>
        <w:rPr>
          <w:i w:val="0"/>
          <w:iCs/>
          <w:color w:val="auto"/>
          <w:highlight w:val="none"/>
        </w:rPr>
        <w:fldChar w:fldCharType="separate"/>
      </w:r>
      <w:r>
        <w:rPr>
          <w:i w:val="0"/>
          <w:iCs/>
          <w:color w:val="auto"/>
          <w:highlight w:val="none"/>
        </w:rPr>
        <w:t xml:space="preserve">1</w:t>
      </w:r>
      <w:r>
        <w:rPr>
          <w:i w:val="0"/>
          <w:iCs/>
          <w:color w:val="auto"/>
          <w:highlight w:val="none"/>
        </w:rPr>
        <w:fldChar w:fldCharType="end"/>
      </w:r>
      <w:r>
        <w:rPr>
          <w:rFonts w:hint="eastAsia" w:hAnsi="宋体"/>
          <w:bCs w:val="0"/>
          <w:i w:val="0"/>
          <w:iCs/>
          <w:color w:val="auto"/>
          <w:szCs w:val="28"/>
          <w:highlight w:val="none"/>
        </w:rPr>
        <w:fldChar w:fldCharType="end"/>
      </w:r>
      <w:r/>
    </w:p>
    <w:p>
      <w:pPr>
        <w:pStyle w:val="1046"/>
        <w:tabs>
          <w:tab w:val="right" w:pos="9638" w:leader="dot"/>
        </w:tabs>
        <w:rPr>
          <w:i w:val="0"/>
          <w:iCs/>
          <w:color w:val="auto"/>
          <w:highlight w:val="none"/>
        </w:rPr>
      </w:pPr>
      <w:r>
        <w:rPr>
          <w:rFonts w:hint="eastAsia" w:hAnsi="宋体"/>
          <w:bCs w:val="0"/>
          <w:i w:val="0"/>
          <w:iCs/>
          <w:color w:val="auto"/>
          <w:szCs w:val="28"/>
          <w:highlight w:val="none"/>
        </w:rPr>
        <w:fldChar w:fldCharType="begin"/>
      </w:r>
      <w:r>
        <w:rPr>
          <w:rFonts w:hint="eastAsia" w:hAnsi="宋体"/>
          <w:bCs w:val="0"/>
          <w:i w:val="0"/>
          <w:iCs/>
          <w:color w:val="auto"/>
          <w:szCs w:val="28"/>
          <w:highlight w:val="none"/>
        </w:rPr>
        <w:instrText xml:space="preserve"> HYPERLINK \l _Toc17778 </w:instrText>
      </w:r>
      <w:r>
        <w:rPr>
          <w:rFonts w:hint="eastAsia" w:hAnsi="宋体"/>
          <w:bCs w:val="0"/>
          <w:i w:val="0"/>
          <w:iCs/>
          <w:color w:val="auto"/>
          <w:szCs w:val="28"/>
          <w:highlight w:val="none"/>
        </w:rPr>
        <w:fldChar w:fldCharType="separate"/>
      </w:r>
      <w:r>
        <w:rPr>
          <w:rFonts w:hint="eastAsia" w:hAnsi="宋体"/>
          <w:i w:val="0"/>
          <w:iCs/>
          <w:color w:val="auto"/>
          <w:highlight w:val="none"/>
        </w:rPr>
        <w:t xml:space="preserve">第二章 投标人须知</w:t>
      </w:r>
      <w:r>
        <w:rPr>
          <w:i w:val="0"/>
          <w:iCs/>
          <w:color w:val="auto"/>
          <w:highlight w:val="none"/>
        </w:rPr>
        <w:tab/>
      </w:r>
      <w:r>
        <w:rPr>
          <w:i w:val="0"/>
          <w:iCs/>
          <w:color w:val="auto"/>
          <w:highlight w:val="none"/>
        </w:rPr>
        <w:fldChar w:fldCharType="begin"/>
      </w:r>
      <w:r>
        <w:rPr>
          <w:i w:val="0"/>
          <w:iCs/>
          <w:color w:val="auto"/>
          <w:highlight w:val="none"/>
        </w:rPr>
        <w:instrText xml:space="preserve"> PAGEREF _Toc17778 \h </w:instrText>
      </w:r>
      <w:r>
        <w:rPr>
          <w:i w:val="0"/>
          <w:iCs/>
          <w:color w:val="auto"/>
          <w:highlight w:val="none"/>
        </w:rPr>
        <w:fldChar w:fldCharType="separate"/>
      </w:r>
      <w:r>
        <w:rPr>
          <w:i w:val="0"/>
          <w:iCs/>
          <w:color w:val="auto"/>
          <w:highlight w:val="none"/>
        </w:rPr>
        <w:t xml:space="preserve">5</w:t>
      </w:r>
      <w:r>
        <w:rPr>
          <w:i w:val="0"/>
          <w:iCs/>
          <w:color w:val="auto"/>
          <w:highlight w:val="none"/>
        </w:rPr>
        <w:fldChar w:fldCharType="end"/>
      </w:r>
      <w:r>
        <w:rPr>
          <w:rFonts w:hint="eastAsia" w:hAnsi="宋体"/>
          <w:bCs w:val="0"/>
          <w:i w:val="0"/>
          <w:iCs/>
          <w:color w:val="auto"/>
          <w:szCs w:val="28"/>
          <w:highlight w:val="none"/>
        </w:rPr>
        <w:fldChar w:fldCharType="end"/>
      </w:r>
      <w:r/>
    </w:p>
    <w:p>
      <w:pPr>
        <w:pStyle w:val="1046"/>
        <w:tabs>
          <w:tab w:val="right" w:pos="9638" w:leader="dot"/>
        </w:tabs>
        <w:rPr>
          <w:i w:val="0"/>
          <w:iCs/>
          <w:color w:val="auto"/>
          <w:highlight w:val="none"/>
        </w:rPr>
      </w:pPr>
      <w:r>
        <w:rPr>
          <w:rFonts w:hint="eastAsia" w:hAnsi="宋体"/>
          <w:bCs w:val="0"/>
          <w:i w:val="0"/>
          <w:iCs/>
          <w:color w:val="auto"/>
          <w:szCs w:val="28"/>
          <w:highlight w:val="none"/>
        </w:rPr>
        <w:fldChar w:fldCharType="begin"/>
      </w:r>
      <w:r>
        <w:rPr>
          <w:rFonts w:hint="eastAsia" w:hAnsi="宋体"/>
          <w:bCs w:val="0"/>
          <w:i w:val="0"/>
          <w:iCs/>
          <w:color w:val="auto"/>
          <w:szCs w:val="28"/>
          <w:highlight w:val="none"/>
        </w:rPr>
        <w:instrText xml:space="preserve"> HYPERLINK \l _Toc19780 </w:instrText>
      </w:r>
      <w:r>
        <w:rPr>
          <w:rFonts w:hint="eastAsia" w:hAnsi="宋体"/>
          <w:bCs w:val="0"/>
          <w:i w:val="0"/>
          <w:iCs/>
          <w:color w:val="auto"/>
          <w:szCs w:val="28"/>
          <w:highlight w:val="none"/>
        </w:rPr>
        <w:fldChar w:fldCharType="separate"/>
      </w:r>
      <w:r>
        <w:rPr>
          <w:rFonts w:hint="eastAsia" w:hAnsi="宋体"/>
          <w:i w:val="0"/>
          <w:iCs/>
          <w:color w:val="auto"/>
          <w:highlight w:val="none"/>
        </w:rPr>
        <w:t xml:space="preserve">第三章  政府采购合同格式</w:t>
      </w:r>
      <w:r>
        <w:rPr>
          <w:i w:val="0"/>
          <w:iCs/>
          <w:color w:val="auto"/>
          <w:highlight w:val="none"/>
        </w:rPr>
        <w:tab/>
      </w:r>
      <w:r>
        <w:rPr>
          <w:i w:val="0"/>
          <w:iCs/>
          <w:color w:val="auto"/>
          <w:highlight w:val="none"/>
        </w:rPr>
        <w:fldChar w:fldCharType="begin"/>
      </w:r>
      <w:r>
        <w:rPr>
          <w:i w:val="0"/>
          <w:iCs/>
          <w:color w:val="auto"/>
          <w:highlight w:val="none"/>
        </w:rPr>
        <w:instrText xml:space="preserve"> PAGEREF _Toc19780 \h </w:instrText>
      </w:r>
      <w:r>
        <w:rPr>
          <w:i w:val="0"/>
          <w:iCs/>
          <w:color w:val="auto"/>
          <w:highlight w:val="none"/>
        </w:rPr>
        <w:fldChar w:fldCharType="separate"/>
      </w:r>
      <w:r>
        <w:rPr>
          <w:i w:val="0"/>
          <w:iCs/>
          <w:color w:val="auto"/>
          <w:highlight w:val="none"/>
        </w:rPr>
        <w:t xml:space="preserve">19</w:t>
      </w:r>
      <w:r>
        <w:rPr>
          <w:i w:val="0"/>
          <w:iCs/>
          <w:color w:val="auto"/>
          <w:highlight w:val="none"/>
        </w:rPr>
        <w:fldChar w:fldCharType="end"/>
      </w:r>
      <w:r>
        <w:rPr>
          <w:rFonts w:hint="eastAsia" w:hAnsi="宋体"/>
          <w:bCs w:val="0"/>
          <w:i w:val="0"/>
          <w:iCs/>
          <w:color w:val="auto"/>
          <w:szCs w:val="28"/>
          <w:highlight w:val="none"/>
        </w:rPr>
        <w:fldChar w:fldCharType="end"/>
      </w:r>
      <w:r/>
    </w:p>
    <w:p>
      <w:pPr>
        <w:pStyle w:val="1046"/>
        <w:tabs>
          <w:tab w:val="right" w:pos="9638" w:leader="dot"/>
        </w:tabs>
        <w:rPr>
          <w:i w:val="0"/>
          <w:iCs/>
          <w:color w:val="auto"/>
          <w:highlight w:val="none"/>
        </w:rPr>
      </w:pPr>
      <w:r>
        <w:rPr>
          <w:rFonts w:hint="eastAsia" w:hAnsi="宋体"/>
          <w:bCs w:val="0"/>
          <w:i w:val="0"/>
          <w:iCs/>
          <w:color w:val="auto"/>
          <w:szCs w:val="28"/>
          <w:highlight w:val="none"/>
        </w:rPr>
        <w:fldChar w:fldCharType="begin"/>
      </w:r>
      <w:r>
        <w:rPr>
          <w:rFonts w:hint="eastAsia" w:hAnsi="宋体"/>
          <w:bCs w:val="0"/>
          <w:i w:val="0"/>
          <w:iCs/>
          <w:color w:val="auto"/>
          <w:szCs w:val="28"/>
          <w:highlight w:val="none"/>
        </w:rPr>
        <w:instrText xml:space="preserve"> HYPERLINK \l _Toc3871 </w:instrText>
      </w:r>
      <w:r>
        <w:rPr>
          <w:rFonts w:hint="eastAsia" w:hAnsi="宋体"/>
          <w:bCs w:val="0"/>
          <w:i w:val="0"/>
          <w:iCs/>
          <w:color w:val="auto"/>
          <w:szCs w:val="28"/>
          <w:highlight w:val="none"/>
        </w:rPr>
        <w:fldChar w:fldCharType="separate"/>
      </w:r>
      <w:r>
        <w:rPr>
          <w:rFonts w:hint="eastAsia" w:ascii="Times New Roman" w:hAnsi="宋体" w:cs="Times New Roman"/>
          <w:i w:val="0"/>
          <w:iCs/>
          <w:color w:val="auto"/>
          <w:highlight w:val="none"/>
        </w:rPr>
        <w:t xml:space="preserve">第</w:t>
      </w:r>
      <w:r>
        <w:rPr>
          <w:rFonts w:hint="eastAsia" w:ascii="Times New Roman" w:hAnsi="宋体" w:cs="Times New Roman"/>
          <w:i w:val="0"/>
          <w:iCs/>
          <w:color w:val="auto"/>
          <w:highlight w:val="none"/>
          <w:lang w:eastAsia="zh-CN"/>
        </w:rPr>
        <w:t xml:space="preserve">四</w:t>
      </w:r>
      <w:r>
        <w:rPr>
          <w:rFonts w:hint="eastAsia" w:ascii="Times New Roman" w:hAnsi="宋体" w:cs="Times New Roman"/>
          <w:i w:val="0"/>
          <w:iCs/>
          <w:color w:val="auto"/>
          <w:highlight w:val="none"/>
        </w:rPr>
        <w:t xml:space="preserve">章  项目需求</w:t>
      </w:r>
      <w:r>
        <w:rPr>
          <w:i w:val="0"/>
          <w:iCs/>
          <w:color w:val="auto"/>
          <w:highlight w:val="none"/>
        </w:rPr>
        <w:tab/>
      </w:r>
      <w:r>
        <w:rPr>
          <w:i w:val="0"/>
          <w:iCs/>
          <w:color w:val="auto"/>
          <w:highlight w:val="none"/>
        </w:rPr>
        <w:fldChar w:fldCharType="begin"/>
      </w:r>
      <w:r>
        <w:rPr>
          <w:i w:val="0"/>
          <w:iCs/>
          <w:color w:val="auto"/>
          <w:highlight w:val="none"/>
        </w:rPr>
        <w:instrText xml:space="preserve"> PAGEREF _Toc3871 \h </w:instrText>
      </w:r>
      <w:r>
        <w:rPr>
          <w:i w:val="0"/>
          <w:iCs/>
          <w:color w:val="auto"/>
          <w:highlight w:val="none"/>
        </w:rPr>
        <w:fldChar w:fldCharType="separate"/>
      </w:r>
      <w:r>
        <w:rPr>
          <w:i w:val="0"/>
          <w:iCs/>
          <w:color w:val="auto"/>
          <w:highlight w:val="none"/>
        </w:rPr>
        <w:t xml:space="preserve">24</w:t>
      </w:r>
      <w:r>
        <w:rPr>
          <w:i w:val="0"/>
          <w:iCs/>
          <w:color w:val="auto"/>
          <w:highlight w:val="none"/>
        </w:rPr>
        <w:fldChar w:fldCharType="end"/>
      </w:r>
      <w:r>
        <w:rPr>
          <w:rFonts w:hint="eastAsia" w:hAnsi="宋体"/>
          <w:bCs w:val="0"/>
          <w:i w:val="0"/>
          <w:iCs/>
          <w:color w:val="auto"/>
          <w:szCs w:val="28"/>
          <w:highlight w:val="none"/>
        </w:rPr>
        <w:fldChar w:fldCharType="end"/>
      </w:r>
      <w:r/>
    </w:p>
    <w:p>
      <w:pPr>
        <w:pStyle w:val="1046"/>
        <w:tabs>
          <w:tab w:val="right" w:pos="9638" w:leader="dot"/>
        </w:tabs>
        <w:rPr>
          <w:i w:val="0"/>
          <w:iCs/>
          <w:color w:val="auto"/>
          <w:highlight w:val="none"/>
        </w:rPr>
      </w:pPr>
      <w:r>
        <w:rPr>
          <w:rFonts w:hint="eastAsia" w:hAnsi="宋体"/>
          <w:bCs w:val="0"/>
          <w:i w:val="0"/>
          <w:iCs/>
          <w:color w:val="auto"/>
          <w:szCs w:val="28"/>
          <w:highlight w:val="none"/>
        </w:rPr>
        <w:fldChar w:fldCharType="begin"/>
      </w:r>
      <w:r>
        <w:rPr>
          <w:rFonts w:hint="eastAsia" w:hAnsi="宋体"/>
          <w:bCs w:val="0"/>
          <w:i w:val="0"/>
          <w:iCs/>
          <w:color w:val="auto"/>
          <w:szCs w:val="28"/>
          <w:highlight w:val="none"/>
        </w:rPr>
        <w:instrText xml:space="preserve"> HYPERLINK \l _Toc30423 </w:instrText>
      </w:r>
      <w:r>
        <w:rPr>
          <w:rFonts w:hint="eastAsia" w:hAnsi="宋体"/>
          <w:bCs w:val="0"/>
          <w:i w:val="0"/>
          <w:iCs/>
          <w:color w:val="auto"/>
          <w:szCs w:val="28"/>
          <w:highlight w:val="none"/>
        </w:rPr>
        <w:fldChar w:fldCharType="separate"/>
      </w:r>
      <w:r>
        <w:rPr>
          <w:rFonts w:hint="eastAsia"/>
          <w:i w:val="0"/>
          <w:iCs/>
          <w:color w:val="auto"/>
          <w:highlight w:val="none"/>
        </w:rPr>
        <w:t xml:space="preserve">第</w:t>
      </w:r>
      <w:r>
        <w:rPr>
          <w:rFonts w:hint="eastAsia"/>
          <w:i w:val="0"/>
          <w:iCs/>
          <w:color w:val="auto"/>
          <w:highlight w:val="none"/>
          <w:lang w:eastAsia="zh-CN"/>
        </w:rPr>
        <w:t xml:space="preserve">五</w:t>
      </w:r>
      <w:r>
        <w:rPr>
          <w:rFonts w:hint="eastAsia"/>
          <w:i w:val="0"/>
          <w:iCs/>
          <w:color w:val="auto"/>
          <w:highlight w:val="none"/>
        </w:rPr>
        <w:t xml:space="preserve">章  评标办法</w:t>
      </w:r>
      <w:r>
        <w:rPr>
          <w:i w:val="0"/>
          <w:iCs/>
          <w:color w:val="auto"/>
          <w:highlight w:val="none"/>
        </w:rPr>
        <w:tab/>
      </w:r>
      <w:r>
        <w:rPr>
          <w:i w:val="0"/>
          <w:iCs/>
          <w:color w:val="auto"/>
          <w:highlight w:val="none"/>
        </w:rPr>
        <w:fldChar w:fldCharType="begin"/>
      </w:r>
      <w:r>
        <w:rPr>
          <w:i w:val="0"/>
          <w:iCs/>
          <w:color w:val="auto"/>
          <w:highlight w:val="none"/>
        </w:rPr>
        <w:instrText xml:space="preserve"> PAGEREF _Toc30423 \h </w:instrText>
      </w:r>
      <w:r>
        <w:rPr>
          <w:i w:val="0"/>
          <w:iCs/>
          <w:color w:val="auto"/>
          <w:highlight w:val="none"/>
        </w:rPr>
        <w:fldChar w:fldCharType="separate"/>
      </w:r>
      <w:r>
        <w:rPr>
          <w:i w:val="0"/>
          <w:iCs/>
          <w:color w:val="auto"/>
          <w:highlight w:val="none"/>
        </w:rPr>
        <w:t xml:space="preserve">49</w:t>
      </w:r>
      <w:r>
        <w:rPr>
          <w:i w:val="0"/>
          <w:iCs/>
          <w:color w:val="auto"/>
          <w:highlight w:val="none"/>
        </w:rPr>
        <w:fldChar w:fldCharType="end"/>
      </w:r>
      <w:r>
        <w:rPr>
          <w:rFonts w:hint="eastAsia" w:hAnsi="宋体"/>
          <w:bCs w:val="0"/>
          <w:i w:val="0"/>
          <w:iCs/>
          <w:color w:val="auto"/>
          <w:szCs w:val="28"/>
          <w:highlight w:val="none"/>
        </w:rPr>
        <w:fldChar w:fldCharType="end"/>
      </w:r>
      <w:r/>
    </w:p>
    <w:p>
      <w:pPr>
        <w:pStyle w:val="1046"/>
        <w:tabs>
          <w:tab w:val="right" w:pos="9638" w:leader="dot"/>
        </w:tabs>
        <w:rPr>
          <w:i w:val="0"/>
          <w:iCs/>
          <w:color w:val="auto"/>
          <w:highlight w:val="none"/>
        </w:rPr>
      </w:pPr>
      <w:r>
        <w:rPr>
          <w:rFonts w:hint="eastAsia" w:hAnsi="宋体"/>
          <w:bCs w:val="0"/>
          <w:i w:val="0"/>
          <w:iCs/>
          <w:color w:val="auto"/>
          <w:szCs w:val="28"/>
          <w:highlight w:val="none"/>
        </w:rPr>
        <w:fldChar w:fldCharType="begin"/>
      </w:r>
      <w:r>
        <w:rPr>
          <w:rFonts w:hint="eastAsia" w:hAnsi="宋体"/>
          <w:bCs w:val="0"/>
          <w:i w:val="0"/>
          <w:iCs/>
          <w:color w:val="auto"/>
          <w:szCs w:val="28"/>
          <w:highlight w:val="none"/>
        </w:rPr>
        <w:instrText xml:space="preserve"> HYPERLINK \l _Toc16962 </w:instrText>
      </w:r>
      <w:r>
        <w:rPr>
          <w:rFonts w:hint="eastAsia" w:hAnsi="宋体"/>
          <w:bCs w:val="0"/>
          <w:i w:val="0"/>
          <w:iCs/>
          <w:color w:val="auto"/>
          <w:szCs w:val="28"/>
          <w:highlight w:val="none"/>
        </w:rPr>
        <w:fldChar w:fldCharType="separate"/>
      </w:r>
      <w:r>
        <w:rPr>
          <w:rFonts w:hint="eastAsia" w:hAnsi="宋体"/>
          <w:i w:val="0"/>
          <w:iCs/>
          <w:color w:val="auto"/>
          <w:highlight w:val="none"/>
        </w:rPr>
        <w:t xml:space="preserve">第</w:t>
      </w:r>
      <w:r>
        <w:rPr>
          <w:rFonts w:hint="eastAsia" w:hAnsi="宋体"/>
          <w:i w:val="0"/>
          <w:iCs/>
          <w:color w:val="auto"/>
          <w:highlight w:val="none"/>
          <w:lang w:eastAsia="zh-CN"/>
        </w:rPr>
        <w:t xml:space="preserve">六</w:t>
      </w:r>
      <w:r>
        <w:rPr>
          <w:rFonts w:hint="eastAsia" w:hAnsi="宋体"/>
          <w:i w:val="0"/>
          <w:iCs/>
          <w:color w:val="auto"/>
          <w:highlight w:val="none"/>
        </w:rPr>
        <w:t xml:space="preserve">章  投标文件格式</w:t>
      </w:r>
      <w:r>
        <w:rPr>
          <w:i w:val="0"/>
          <w:iCs/>
          <w:color w:val="auto"/>
          <w:highlight w:val="none"/>
        </w:rPr>
        <w:tab/>
      </w:r>
      <w:r>
        <w:rPr>
          <w:i w:val="0"/>
          <w:iCs/>
          <w:color w:val="auto"/>
          <w:highlight w:val="none"/>
        </w:rPr>
        <w:fldChar w:fldCharType="begin"/>
      </w:r>
      <w:r>
        <w:rPr>
          <w:i w:val="0"/>
          <w:iCs/>
          <w:color w:val="auto"/>
          <w:highlight w:val="none"/>
        </w:rPr>
        <w:instrText xml:space="preserve"> PAGEREF _Toc16962 \h </w:instrText>
      </w:r>
      <w:r>
        <w:rPr>
          <w:i w:val="0"/>
          <w:iCs/>
          <w:color w:val="auto"/>
          <w:highlight w:val="none"/>
        </w:rPr>
        <w:fldChar w:fldCharType="separate"/>
      </w:r>
      <w:r>
        <w:rPr>
          <w:i w:val="0"/>
          <w:iCs/>
          <w:color w:val="auto"/>
          <w:highlight w:val="none"/>
        </w:rPr>
        <w:t xml:space="preserve">53</w:t>
      </w:r>
      <w:r>
        <w:rPr>
          <w:i w:val="0"/>
          <w:iCs/>
          <w:color w:val="auto"/>
          <w:highlight w:val="none"/>
        </w:rPr>
        <w:fldChar w:fldCharType="end"/>
      </w:r>
      <w:r>
        <w:rPr>
          <w:rFonts w:hint="eastAsia" w:hAnsi="宋体"/>
          <w:bCs w:val="0"/>
          <w:i w:val="0"/>
          <w:iCs/>
          <w:color w:val="auto"/>
          <w:szCs w:val="28"/>
          <w:highlight w:val="none"/>
        </w:rPr>
        <w:fldChar w:fldCharType="end"/>
      </w:r>
      <w:r/>
    </w:p>
    <w:p>
      <w:pPr>
        <w:pStyle w:val="1035"/>
        <w:ind w:firstLine="560"/>
        <w:rPr>
          <w:rFonts w:hint="eastAsia" w:hAnsi="宋体"/>
          <w:i w:val="0"/>
          <w:iCs/>
          <w:color w:val="auto"/>
          <w:sz w:val="44"/>
          <w:highlight w:val="none"/>
        </w:rPr>
      </w:pPr>
      <w:r>
        <w:rPr>
          <w:rFonts w:hint="eastAsia" w:hAnsi="宋体"/>
          <w:bCs/>
          <w:i w:val="0"/>
          <w:iCs/>
          <w:color w:val="auto"/>
          <w:szCs w:val="28"/>
          <w:highlight w:val="none"/>
        </w:rPr>
        <w:fldChar w:fldCharType="end"/>
      </w:r>
      <w:r/>
    </w:p>
    <w:p>
      <w:pPr>
        <w:pStyle w:val="1015"/>
        <w:numPr>
          <w:ilvl w:val="0"/>
          <w:numId w:val="0"/>
        </w:numPr>
        <w:rPr>
          <w:rFonts w:hint="eastAsia" w:hAnsi="宋体"/>
          <w:b w:val="0"/>
          <w:i w:val="0"/>
          <w:iCs/>
          <w:color w:val="auto"/>
          <w:highlight w:val="none"/>
        </w:rPr>
        <w:sectPr>
          <w:footerReference w:type="default" r:id="rId15"/>
          <w:footerReference w:type="first" r:id="rId16"/>
          <w:footnotePr/>
          <w:endnotePr/>
          <w:type w:val="nextPage"/>
          <w:pgSz w:w="11906" w:h="16838" w:orient="portrait"/>
          <w:pgMar w:top="1134" w:right="1134" w:bottom="1134" w:left="1134" w:header="720" w:footer="720" w:gutter="0"/>
          <w:cols w:num="1" w:sep="0" w:space="1701" w:equalWidth="1"/>
          <w:docGrid w:linePitch="360"/>
          <w:titlePg/>
        </w:sectPr>
      </w:pPr>
      <w:r/>
      <w:bookmarkStart w:id="3" w:name="_Toc513622226"/>
      <w:r/>
      <w:bookmarkStart w:id="4" w:name="_Toc139967210"/>
      <w:r/>
      <w:bookmarkStart w:id="5" w:name="_Toc139966426"/>
      <w:r/>
      <w:r/>
    </w:p>
    <w:p>
      <w:pPr>
        <w:pStyle w:val="1015"/>
        <w:numPr>
          <w:ilvl w:val="0"/>
          <w:numId w:val="0"/>
        </w:numPr>
        <w:rPr>
          <w:rFonts w:hint="eastAsia" w:hAnsi="宋体"/>
          <w:b w:val="0"/>
          <w:color w:val="auto"/>
          <w:highlight w:val="none"/>
        </w:rPr>
      </w:pPr>
      <w:r/>
      <w:bookmarkStart w:id="6" w:name="_Toc26214"/>
      <w:r>
        <w:rPr>
          <w:rFonts w:hint="eastAsia" w:hAnsi="宋体"/>
          <w:b w:val="0"/>
          <w:color w:val="auto"/>
          <w:highlight w:val="none"/>
        </w:rPr>
        <w:t xml:space="preserve">第一章  投标邀请</w:t>
      </w:r>
      <w:bookmarkEnd w:id="3"/>
      <w:r/>
      <w:bookmarkEnd w:id="6"/>
      <w:r/>
      <w:r/>
    </w:p>
    <w:p>
      <w:pPr>
        <w:ind w:firstLine="480"/>
        <w:keepLines w:val="0"/>
        <w:pageBreakBefore w:val="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受</w:t>
      </w:r>
      <w:r>
        <w:rPr>
          <w:rFonts w:hint="eastAsia" w:ascii="Times New Roman" w:hAnsi="Times New Roman" w:eastAsia="宋体" w:cs="Times New Roman"/>
          <w:color w:val="auto"/>
          <w:sz w:val="24"/>
          <w:szCs w:val="24"/>
          <w:highlight w:val="none"/>
          <w:u w:val="single"/>
          <w:lang w:eastAsia="zh-CN"/>
        </w:rPr>
        <w:t xml:space="preserve">连云港市海州湾小学</w:t>
      </w:r>
      <w:r>
        <w:rPr>
          <w:rFonts w:hint="default" w:ascii="Times New Roman" w:hAnsi="Times New Roman" w:eastAsia="宋体" w:cs="Times New Roman"/>
          <w:color w:val="auto"/>
          <w:sz w:val="24"/>
          <w:szCs w:val="24"/>
          <w:highlight w:val="none"/>
        </w:rPr>
        <w:t xml:space="preserve">的委托，</w:t>
      </w:r>
      <w:r>
        <w:rPr>
          <w:rFonts w:hint="eastAsia" w:cs="Times New Roman"/>
          <w:color w:val="auto"/>
          <w:sz w:val="24"/>
          <w:szCs w:val="24"/>
          <w:highlight w:val="none"/>
          <w:lang w:eastAsia="zh-CN"/>
        </w:rPr>
        <w:t xml:space="preserve">连云港上和工程咨询有限公司</w:t>
      </w:r>
      <w:r>
        <w:rPr>
          <w:rFonts w:hint="default" w:ascii="Times New Roman" w:hAnsi="Times New Roman" w:eastAsia="宋体" w:cs="Times New Roman"/>
          <w:color w:val="auto"/>
          <w:sz w:val="24"/>
          <w:szCs w:val="24"/>
          <w:highlight w:val="none"/>
        </w:rPr>
        <w:t xml:space="preserve">就</w:t>
      </w:r>
      <w:r>
        <w:rPr>
          <w:rFonts w:hint="eastAsia" w:ascii="宋体" w:hAnsi="宋体"/>
          <w:color w:val="auto"/>
          <w:sz w:val="24"/>
          <w:highlight w:val="none"/>
          <w:u w:val="single"/>
          <w:lang w:eastAsia="zh-CN"/>
        </w:rPr>
        <w:t xml:space="preserve">海州湾小学信息化及安全设备采购</w:t>
      </w:r>
      <w:r>
        <w:rPr>
          <w:rFonts w:hint="default" w:ascii="Times New Roman" w:hAnsi="Times New Roman" w:eastAsia="宋体" w:cs="Times New Roman"/>
          <w:color w:val="auto"/>
          <w:sz w:val="24"/>
          <w:szCs w:val="24"/>
          <w:highlight w:val="none"/>
        </w:rPr>
        <w:t xml:space="preserve">（项目编号</w:t>
      </w:r>
      <w:r>
        <w:rPr>
          <w:rFonts w:hint="default" w:ascii="Times New Roman" w:hAnsi="Times New Roman" w:eastAsia="宋体" w:cs="Times New Roman"/>
          <w:color w:val="auto"/>
          <w:sz w:val="24"/>
          <w:szCs w:val="24"/>
          <w:highlight w:val="none"/>
        </w:rPr>
        <w:t xml:space="preserve">：</w:t>
      </w:r>
      <w:r>
        <w:rPr>
          <w:rFonts w:hint="default" w:ascii="Times New Roman" w:hAnsi="Times New Roman" w:cs="Times New Roman"/>
          <w:b/>
          <w:color w:val="auto"/>
          <w:sz w:val="24"/>
          <w:szCs w:val="24"/>
          <w:highlight w:val="none"/>
          <w:u w:val="single"/>
          <w:lang w:eastAsia="zh-CN"/>
        </w:rPr>
        <w:t xml:space="preserve">JSZC-320703-SHGS-G2025-0014</w:t>
      </w:r>
      <w:r>
        <w:rPr>
          <w:rFonts w:hint="default" w:ascii="Times New Roman" w:hAnsi="Times New Roman" w:eastAsia="宋体" w:cs="Times New Roman"/>
          <w:color w:val="auto"/>
          <w:sz w:val="24"/>
          <w:szCs w:val="24"/>
          <w:highlight w:val="none"/>
        </w:rPr>
        <w:t xml:space="preserve">）</w:t>
      </w:r>
      <w:r>
        <w:rPr>
          <w:rFonts w:hint="default" w:ascii="Times New Roman" w:hAnsi="Times New Roman" w:eastAsia="宋体" w:cs="Times New Roman"/>
          <w:color w:val="auto"/>
          <w:sz w:val="24"/>
          <w:szCs w:val="24"/>
          <w:highlight w:val="none"/>
        </w:rPr>
        <w:t xml:space="preserve">项目进行</w:t>
      </w:r>
      <w:r>
        <w:rPr>
          <w:rFonts w:hint="default" w:ascii="Times New Roman" w:hAnsi="Times New Roman" w:eastAsia="宋体" w:cs="Times New Roman"/>
          <w:color w:val="auto"/>
          <w:sz w:val="24"/>
          <w:szCs w:val="24"/>
          <w:highlight w:val="none"/>
        </w:rPr>
        <w:t xml:space="preserve">公开招标采购，欢迎符合条件的供应商投标。</w:t>
      </w:r>
      <w:r/>
    </w:p>
    <w:tbl>
      <w:tblPr>
        <w:tblStyle w:val="84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47"/>
      </w:tblGrid>
      <w:tr>
        <w:trPr>
          <w:trHeight w:val="1039"/>
        </w:trPr>
        <w:tc>
          <w:tcPr>
            <w:tcW w:w="9747" w:type="dxa"/>
            <w:vAlign w:val="top"/>
            <w:textDirection w:val="lrTb"/>
            <w:noWrap w:val="false"/>
          </w:tcPr>
          <w:p>
            <w:pPr>
              <w:ind w:left="0" w:firstLine="0"/>
              <w:keepLines w:val="0"/>
              <w:keepNext w:val="0"/>
              <w:pageBreakBefore w:val="0"/>
              <w:spacing w:line="40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项目概况</w:t>
            </w:r>
            <w:r/>
          </w:p>
          <w:p>
            <w:pPr>
              <w:ind w:left="0" w:right="0" w:firstLine="482"/>
              <w:jc w:val="both"/>
              <w:keepLines w:val="0"/>
              <w:keepNext w:val="0"/>
              <w:pageBreakBefore w:val="0"/>
              <w:spacing w:before="0" w:after="0" w:line="480" w:lineRule="exact"/>
              <w:widowControl w:val="off"/>
              <w:rPr>
                <w:color w:val="auto"/>
                <w:sz w:val="22"/>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Times New Roman"/>
                <w:b/>
                <w:color w:val="auto"/>
                <w:sz w:val="24"/>
                <w:szCs w:val="24"/>
                <w:highlight w:val="none"/>
                <w:u w:val="single"/>
                <w:lang w:eastAsia="zh-CN"/>
              </w:rPr>
              <w:t xml:space="preserve">海州湾小学信息化及安全设备采购</w:t>
            </w:r>
            <w:r>
              <w:rPr>
                <w:rFonts w:hint="default" w:ascii="Times New Roman" w:hAnsi="Times New Roman" w:eastAsia="宋体" w:cs="Times New Roman"/>
                <w:color w:val="auto"/>
                <w:sz w:val="24"/>
                <w:szCs w:val="24"/>
                <w:highlight w:val="none"/>
              </w:rPr>
              <w:t xml:space="preserve">招标项目的潜在投标人应在</w:t>
            </w:r>
            <w:r>
              <w:rPr>
                <w:rFonts w:hint="default" w:ascii="Times New Roman" w:hAnsi="Times New Roman" w:eastAsia="宋体" w:cs="Times New Roman"/>
                <w:b/>
                <w:color w:val="auto"/>
                <w:sz w:val="24"/>
                <w:szCs w:val="24"/>
                <w:highlight w:val="none"/>
                <w:u w:val="single"/>
              </w:rPr>
              <w:t xml:space="preserve">江苏政府采购网</w:t>
            </w:r>
            <w:r>
              <w:rPr>
                <w:rFonts w:hint="default" w:ascii="Times New Roman" w:hAnsi="Times New Roman" w:eastAsia="宋体" w:cs="Times New Roman"/>
                <w:color w:val="auto"/>
                <w:sz w:val="24"/>
                <w:szCs w:val="24"/>
                <w:highlight w:val="none"/>
              </w:rPr>
              <w:t xml:space="preserve">自行免费下载招标文件，并于</w:t>
            </w:r>
            <w:r>
              <w:rPr>
                <w:rFonts w:ascii="Times New Roman" w:hAnsi="Times New Roman" w:eastAsia="Times New Roman" w:cs="Times New Roman"/>
                <w:b/>
                <w:color w:val="auto"/>
                <w:sz w:val="24"/>
                <w:highlight w:val="none"/>
                <w:u w:val="single"/>
              </w:rPr>
              <w:t xml:space="preserve">2025</w:t>
            </w:r>
            <w:r>
              <w:rPr>
                <w:rFonts w:ascii="宋体" w:hAnsi="宋体" w:eastAsia="宋体" w:cs="宋体"/>
                <w:b/>
                <w:color w:val="auto"/>
                <w:sz w:val="24"/>
                <w:highlight w:val="none"/>
                <w:u w:val="single"/>
              </w:rPr>
              <w:t xml:space="preserve">年</w:t>
            </w:r>
            <w:r>
              <w:rPr>
                <w:rFonts w:hint="eastAsia" w:cs="Times New Roman"/>
                <w:b/>
                <w:color w:val="auto"/>
                <w:sz w:val="24"/>
                <w:highlight w:val="none"/>
                <w:u w:val="single"/>
                <w:lang w:val="en-US" w:eastAsia="zh-CN"/>
              </w:rPr>
              <w:t xml:space="preserve">9</w:t>
            </w:r>
            <w:r>
              <w:rPr>
                <w:rFonts w:ascii="宋体" w:hAnsi="宋体" w:eastAsia="宋体" w:cs="宋体"/>
                <w:b/>
                <w:color w:val="auto"/>
                <w:sz w:val="24"/>
                <w:highlight w:val="none"/>
                <w:u w:val="single"/>
              </w:rPr>
              <w:t xml:space="preserve">月</w:t>
            </w:r>
            <w:r>
              <w:rPr>
                <w:rFonts w:hint="eastAsia" w:cs="Times New Roman"/>
                <w:b/>
                <w:color w:val="auto"/>
                <w:sz w:val="24"/>
                <w:highlight w:val="none"/>
                <w:u w:val="single"/>
                <w:lang w:val="en-US" w:eastAsia="zh-CN"/>
              </w:rPr>
            </w:r>
            <w:r>
              <w:rPr>
                <w:rFonts w:ascii="宋体" w:hAnsi="宋体" w:eastAsia="宋体" w:cs="宋体"/>
                <w:b/>
                <w:color w:val="auto"/>
                <w:sz w:val="24"/>
                <w:highlight w:val="none"/>
                <w:u w:val="single"/>
              </w:rPr>
              <w:t xml:space="preserve">16日</w:t>
            </w:r>
            <w:r>
              <w:rPr>
                <w:rFonts w:hint="eastAsia" w:ascii="Times New Roman" w:hAnsi="Times New Roman" w:cs="Times New Roman"/>
                <w:b/>
                <w:color w:val="auto"/>
                <w:sz w:val="24"/>
                <w:highlight w:val="none"/>
                <w:u w:val="single"/>
                <w:lang w:val="en-US" w:eastAsia="zh-CN"/>
              </w:rPr>
              <w:t xml:space="preserve">09:00</w:t>
            </w:r>
            <w:r>
              <w:rPr>
                <w:rFonts w:ascii="Times New Roman" w:hAnsi="Times New Roman" w:eastAsia="Times New Roman" w:cs="Times New Roman"/>
                <w:b/>
                <w:color w:val="auto"/>
                <w:sz w:val="24"/>
                <w:highlight w:val="none"/>
                <w:u w:val="single"/>
              </w:rPr>
              <w:t xml:space="preserve">:00</w:t>
            </w:r>
            <w:r>
              <w:rPr>
                <w:rFonts w:hint="default" w:ascii="Times New Roman" w:hAnsi="Times New Roman" w:eastAsia="宋体" w:cs="Times New Roman"/>
                <w:color w:val="auto"/>
                <w:sz w:val="24"/>
                <w:szCs w:val="24"/>
                <w:highlight w:val="none"/>
              </w:rPr>
              <w:t xml:space="preserve">（北京时间）前递交（上传）投标文件。</w:t>
            </w:r>
            <w:r/>
          </w:p>
        </w:tc>
      </w:tr>
    </w:tbl>
    <w:p>
      <w:pPr>
        <w:ind w:left="0" w:firstLine="0"/>
        <w:keepLines w:val="0"/>
        <w:pageBreakBefore w:val="0"/>
        <w:spacing w:line="360" w:lineRule="auto"/>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eastAsia="zh-CN"/>
        </w:rPr>
      </w:r>
      <w:r/>
    </w:p>
    <w:p>
      <w:pPr>
        <w:pStyle w:val="1016"/>
        <w:numPr>
          <w:ilvl w:val="0"/>
          <w:numId w:val="0"/>
        </w:numPr>
        <w:keepLines w:val="0"/>
        <w:pageBreakBefore w:val="0"/>
        <w:spacing w:line="360" w:lineRule="auto"/>
        <w:rPr>
          <w:rFonts w:hint="eastAsia"/>
          <w:color w:val="auto"/>
          <w:highlight w:val="none"/>
        </w:rPr>
      </w:pPr>
      <w:r>
        <w:rPr>
          <w:rFonts w:hint="eastAsia"/>
          <w:color w:val="auto"/>
          <w:highlight w:val="none"/>
        </w:rPr>
        <w:t xml:space="preserve">一、项目基本情况</w:t>
      </w:r>
      <w:r/>
    </w:p>
    <w:p>
      <w:pPr>
        <w:ind w:firstLine="480"/>
        <w:keepLines w:val="0"/>
        <w:pageBreakBefore w:val="0"/>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eastAsia="zh-CN"/>
        </w:rPr>
        <w:t xml:space="preserve">项目编号：</w:t>
      </w:r>
      <w:r>
        <w:rPr>
          <w:rFonts w:hint="eastAsia" w:ascii="宋体" w:hAnsi="宋体" w:cs="Times New Roman"/>
          <w:color w:val="auto"/>
          <w:sz w:val="24"/>
          <w:highlight w:val="none"/>
          <w:lang w:eastAsia="zh-CN"/>
        </w:rPr>
        <w:t xml:space="preserve">JSZC-320703-SHGS-G2025-0014</w:t>
      </w:r>
      <w:r>
        <w:rPr>
          <w:rFonts w:hint="eastAsia" w:ascii="宋体" w:hAnsi="宋体" w:eastAsia="宋体" w:cs="Times New Roman"/>
          <w:color w:val="auto"/>
          <w:sz w:val="24"/>
          <w:highlight w:val="none"/>
          <w:lang w:val="en-US" w:eastAsia="zh-CN"/>
        </w:rPr>
        <w:t xml:space="preserve"> </w:t>
      </w:r>
      <w:r/>
    </w:p>
    <w:p>
      <w:pPr>
        <w:ind w:firstLine="480"/>
        <w:keepLines w:val="0"/>
        <w:pageBreakBefore w:val="0"/>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lang w:eastAsia="zh-CN"/>
        </w:rPr>
        <w:t xml:space="preserve">项目</w:t>
      </w:r>
      <w:r>
        <w:rPr>
          <w:rFonts w:hint="eastAsia" w:ascii="宋体" w:hAnsi="宋体"/>
          <w:color w:val="auto"/>
          <w:sz w:val="24"/>
          <w:highlight w:val="none"/>
        </w:rPr>
        <w:t xml:space="preserve">名称：</w:t>
      </w:r>
      <w:r>
        <w:rPr>
          <w:rFonts w:hint="eastAsia" w:ascii="宋体" w:hAnsi="宋体"/>
          <w:color w:val="auto"/>
          <w:sz w:val="24"/>
          <w:highlight w:val="none"/>
          <w:lang w:eastAsia="zh-CN"/>
        </w:rPr>
        <w:t xml:space="preserve">海州湾小学信息化及安全设备采购</w:t>
      </w:r>
      <w:r/>
    </w:p>
    <w:p>
      <w:pPr>
        <w:ind w:firstLine="480"/>
        <w:keepLines w:val="0"/>
        <w:pageBreakBefore w:val="0"/>
        <w:spacing w:line="360" w:lineRule="auto"/>
        <w:rPr>
          <w:rFonts w:hint="eastAsia" w:ascii="宋体" w:hAnsi="宋体" w:eastAsia="宋体" w:cs="Times New Roman"/>
          <w:b/>
          <w:bCs/>
          <w:color w:val="auto"/>
          <w:sz w:val="24"/>
          <w:highlight w:val="none"/>
          <w:lang w:eastAsia="zh-CN"/>
        </w:rPr>
      </w:pPr>
      <w:r>
        <w:rPr>
          <w:rFonts w:hint="eastAsia" w:ascii="宋体" w:hAnsi="宋体" w:eastAsia="宋体" w:cs="Times New Roman"/>
          <w:color w:val="auto"/>
          <w:sz w:val="24"/>
          <w:highlight w:val="none"/>
          <w:lang w:eastAsia="zh-CN"/>
        </w:rPr>
        <w:t xml:space="preserve">预算金额：</w:t>
      </w:r>
      <w:r>
        <w:rPr>
          <w:rFonts w:hint="eastAsia" w:ascii="宋体" w:hAnsi="宋体" w:eastAsia="宋体" w:cs="Times New Roman"/>
          <w:b/>
          <w:bCs/>
          <w:color w:val="auto"/>
          <w:sz w:val="24"/>
          <w:highlight w:val="none"/>
          <w:lang w:eastAsia="zh-CN"/>
        </w:rPr>
        <w:t xml:space="preserve">人民</w:t>
      </w:r>
      <w:r>
        <w:rPr>
          <w:rFonts w:hint="eastAsia" w:ascii="宋体" w:hAnsi="宋体" w:eastAsia="宋体" w:cs="Times New Roman"/>
          <w:b/>
          <w:bCs/>
          <w:color w:val="auto"/>
          <w:sz w:val="24"/>
          <w:highlight w:val="none"/>
          <w:lang w:eastAsia="zh-CN"/>
        </w:rPr>
        <w:t xml:space="preserve">币</w:t>
      </w:r>
      <w:r>
        <w:rPr>
          <w:rFonts w:hint="eastAsia" w:ascii="宋体" w:hAnsi="宋体" w:eastAsia="宋体" w:cs="Times New Roman"/>
          <w:b/>
          <w:bCs/>
          <w:color w:val="auto"/>
          <w:sz w:val="24"/>
          <w:highlight w:val="none"/>
          <w:lang w:val="en-US" w:eastAsia="zh-CN"/>
        </w:rPr>
        <w:t xml:space="preserve">159.1500</w:t>
      </w:r>
      <w:r>
        <w:rPr>
          <w:rFonts w:hint="eastAsia" w:ascii="宋体" w:hAnsi="宋体" w:eastAsia="宋体" w:cs="Times New Roman"/>
          <w:b/>
          <w:bCs/>
          <w:color w:val="auto"/>
          <w:sz w:val="24"/>
          <w:highlight w:val="none"/>
          <w:lang w:val="zh-CN" w:eastAsia="zh-CN"/>
        </w:rPr>
        <w:t xml:space="preserve">万元</w:t>
      </w:r>
      <w:r>
        <w:rPr>
          <w:rFonts w:hint="eastAsia" w:ascii="宋体" w:hAnsi="宋体" w:eastAsia="宋体" w:cs="Times New Roman"/>
          <w:b/>
          <w:bCs/>
          <w:color w:val="auto"/>
          <w:sz w:val="24"/>
          <w:highlight w:val="none"/>
          <w:lang w:eastAsia="zh-CN"/>
        </w:rPr>
        <w:t xml:space="preserve">。</w:t>
      </w:r>
      <w:r/>
    </w:p>
    <w:p>
      <w:pPr>
        <w:ind w:firstLine="480"/>
        <w:keepLines w:val="0"/>
        <w:pageBreakBefore w:val="0"/>
        <w:spacing w:line="360" w:lineRule="auto"/>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eastAsia="zh-CN"/>
        </w:rPr>
        <w:t xml:space="preserve">最高限价：</w:t>
      </w:r>
      <w:r>
        <w:rPr>
          <w:rFonts w:hint="eastAsia" w:ascii="宋体" w:hAnsi="宋体" w:eastAsia="宋体" w:cs="Times New Roman"/>
          <w:b/>
          <w:bCs/>
          <w:color w:val="auto"/>
          <w:sz w:val="24"/>
          <w:highlight w:val="none"/>
          <w:lang w:eastAsia="zh-CN"/>
        </w:rPr>
        <w:t xml:space="preserve">人民币</w:t>
      </w:r>
      <w:r>
        <w:rPr>
          <w:rFonts w:hint="eastAsia" w:ascii="宋体" w:hAnsi="宋体" w:eastAsia="宋体" w:cs="Times New Roman"/>
          <w:b/>
          <w:bCs/>
          <w:color w:val="auto"/>
          <w:sz w:val="24"/>
          <w:highlight w:val="none"/>
          <w:lang w:val="en-US" w:eastAsia="zh-CN"/>
        </w:rPr>
        <w:t xml:space="preserve">159.1500</w:t>
      </w:r>
      <w:r>
        <w:rPr>
          <w:rFonts w:hint="eastAsia" w:ascii="宋体" w:hAnsi="宋体" w:eastAsia="宋体" w:cs="Times New Roman"/>
          <w:b/>
          <w:bCs/>
          <w:color w:val="auto"/>
          <w:sz w:val="24"/>
          <w:highlight w:val="none"/>
          <w:lang w:val="zh-CN" w:eastAsia="zh-CN"/>
        </w:rPr>
        <w:t xml:space="preserve">万元</w:t>
      </w:r>
      <w:r>
        <w:rPr>
          <w:rFonts w:hint="eastAsia" w:ascii="宋体" w:hAnsi="宋体" w:eastAsia="宋体" w:cs="Times New Roman"/>
          <w:b/>
          <w:bCs/>
          <w:color w:val="auto"/>
          <w:sz w:val="24"/>
          <w:highlight w:val="none"/>
          <w:lang w:val="en-US" w:eastAsia="zh-CN"/>
        </w:rPr>
        <w:t xml:space="preserve">，</w:t>
      </w:r>
      <w:r>
        <w:rPr>
          <w:rFonts w:hint="eastAsia" w:ascii="宋体" w:hAnsi="宋体" w:eastAsia="宋体" w:cs="Times New Roman"/>
          <w:b/>
          <w:bCs/>
          <w:color w:val="auto"/>
          <w:sz w:val="24"/>
          <w:highlight w:val="none"/>
          <w:lang w:eastAsia="zh-CN"/>
        </w:rPr>
        <w:t xml:space="preserve">投标报价超过预算金额的投标无效。</w:t>
      </w:r>
      <w:r/>
    </w:p>
    <w:p>
      <w:pPr>
        <w:ind w:firstLine="480"/>
        <w:keepLines w:val="0"/>
        <w:pageBreakBefore w:val="0"/>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eastAsia="zh-CN"/>
        </w:rPr>
        <w:t xml:space="preserve">采购需求：</w:t>
      </w:r>
      <w:r>
        <w:rPr>
          <w:rFonts w:hint="eastAsia" w:ascii="宋体" w:hAnsi="宋体" w:cs="Times New Roman"/>
          <w:color w:val="auto"/>
          <w:sz w:val="24"/>
          <w:highlight w:val="none"/>
          <w:lang w:val="en-US" w:eastAsia="zh-CN"/>
        </w:rPr>
        <w:t xml:space="preserve">海州湾小学信息化及安全设备采购</w:t>
      </w:r>
      <w:r>
        <w:rPr>
          <w:rFonts w:hint="eastAsia" w:ascii="宋体" w:hAnsi="宋体" w:eastAsia="宋体" w:cs="Times New Roman"/>
          <w:color w:val="auto"/>
          <w:sz w:val="24"/>
          <w:highlight w:val="none"/>
          <w:lang w:val="en-US" w:eastAsia="zh-CN"/>
        </w:rPr>
        <w:t xml:space="preserve">；具体内容详见第六章项目需求。</w:t>
      </w:r>
      <w:r/>
    </w:p>
    <w:p>
      <w:pPr>
        <w:ind w:firstLine="482"/>
        <w:keepLines w:val="0"/>
        <w:pageBreakBefore w:val="0"/>
        <w:spacing w:line="360" w:lineRule="auto"/>
        <w:rPr>
          <w:rFonts w:hint="eastAsia" w:ascii="宋体" w:hAnsi="宋体"/>
          <w:color w:val="auto"/>
          <w:sz w:val="24"/>
          <w:highlight w:val="none"/>
        </w:rPr>
      </w:pPr>
      <w:r>
        <w:rPr>
          <w:rFonts w:hint="eastAsia" w:ascii="宋体" w:hAnsi="宋体"/>
          <w:b/>
          <w:bCs/>
          <w:color w:val="auto"/>
          <w:sz w:val="24"/>
          <w:highlight w:val="none"/>
        </w:rPr>
        <w:t xml:space="preserve">对项目需求、评审因素和评审标准部分的询问、质疑请与采购人联系，由采购人负责答复。</w:t>
      </w:r>
      <w:r/>
    </w:p>
    <w:p>
      <w:pPr>
        <w:ind w:firstLine="480"/>
        <w:keepLines w:val="0"/>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合同履行期限</w:t>
      </w:r>
      <w:r>
        <w:rPr>
          <w:rStyle w:val="1072"/>
          <w:rFonts w:hint="eastAsia" w:ascii="宋体" w:hAnsi="宋体"/>
          <w:color w:val="auto"/>
          <w:sz w:val="24"/>
          <w:szCs w:val="24"/>
          <w:highlight w:val="none"/>
        </w:rPr>
        <w:t xml:space="preserve">（交货期）</w:t>
      </w:r>
      <w:r>
        <w:rPr>
          <w:rFonts w:hint="eastAsia" w:ascii="宋体" w:hAnsi="宋体"/>
          <w:color w:val="auto"/>
          <w:sz w:val="24"/>
          <w:highlight w:val="none"/>
        </w:rPr>
        <w:t xml:space="preserve">：</w:t>
      </w:r>
      <w:r>
        <w:rPr>
          <w:rFonts w:hint="eastAsia" w:ascii="宋体" w:hAnsi="宋体"/>
          <w:b/>
          <w:bCs/>
          <w:color w:val="auto"/>
          <w:sz w:val="24"/>
          <w:highlight w:val="none"/>
          <w:lang w:eastAsia="zh-CN"/>
        </w:rPr>
        <w:t xml:space="preserve">合同签订后</w:t>
      </w:r>
      <w:r>
        <w:rPr>
          <w:rFonts w:hint="eastAsia" w:ascii="宋体" w:hAnsi="宋体"/>
          <w:b/>
          <w:bCs/>
          <w:color w:val="auto"/>
          <w:sz w:val="24"/>
          <w:highlight w:val="none"/>
          <w:lang w:val="en-US" w:eastAsia="zh-CN"/>
        </w:rPr>
        <w:t xml:space="preserve">25日历天</w:t>
      </w:r>
      <w:r>
        <w:rPr>
          <w:rFonts w:hint="eastAsia" w:ascii="宋体" w:hAnsi="宋体"/>
          <w:b/>
          <w:bCs/>
          <w:color w:val="auto"/>
          <w:sz w:val="24"/>
          <w:highlight w:val="none"/>
        </w:rPr>
        <w:t xml:space="preserve">内完成供货、安装调试，上线试运行，</w:t>
      </w:r>
      <w:r>
        <w:rPr>
          <w:rFonts w:hint="eastAsia" w:ascii="宋体" w:hAnsi="宋体"/>
          <w:b/>
          <w:bCs/>
          <w:color w:val="auto"/>
          <w:sz w:val="24"/>
          <w:highlight w:val="none"/>
          <w:lang w:val="en-US" w:eastAsia="zh-CN"/>
        </w:rPr>
        <w:t xml:space="preserve">合格后组织</w:t>
      </w:r>
      <w:r>
        <w:rPr>
          <w:rFonts w:hint="eastAsia" w:ascii="宋体" w:hAnsi="宋体"/>
          <w:b/>
          <w:bCs/>
          <w:color w:val="auto"/>
          <w:sz w:val="24"/>
          <w:highlight w:val="none"/>
          <w:lang w:eastAsia="zh-CN"/>
        </w:rPr>
        <w:t xml:space="preserve">验收</w:t>
      </w:r>
      <w:r>
        <w:rPr>
          <w:rFonts w:hint="eastAsia" w:ascii="宋体" w:hAnsi="宋体"/>
          <w:b/>
          <w:bCs/>
          <w:color w:val="auto"/>
          <w:sz w:val="24"/>
          <w:highlight w:val="none"/>
        </w:rPr>
        <w:t xml:space="preserve">。</w:t>
      </w:r>
      <w:r/>
    </w:p>
    <w:p>
      <w:pPr>
        <w:ind w:firstLine="480"/>
        <w:keepLines w:val="0"/>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本项目（是/</w:t>
      </w:r>
      <w:r>
        <w:rPr>
          <w:rFonts w:hint="eastAsia" w:ascii="宋体" w:hAnsi="宋体"/>
          <w:b/>
          <w:bCs/>
          <w:color w:val="auto"/>
          <w:sz w:val="24"/>
          <w:highlight w:val="none"/>
        </w:rPr>
        <w:t xml:space="preserve">否√</w:t>
      </w:r>
      <w:r>
        <w:rPr>
          <w:rFonts w:hint="eastAsia" w:ascii="宋体" w:hAnsi="宋体"/>
          <w:color w:val="auto"/>
          <w:sz w:val="24"/>
          <w:highlight w:val="none"/>
        </w:rPr>
        <w:t xml:space="preserve">）接受联合体投标。</w:t>
      </w:r>
      <w:r/>
    </w:p>
    <w:p>
      <w:pPr>
        <w:ind w:firstLine="480"/>
        <w:keepLines w:val="0"/>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质保期限：</w:t>
      </w:r>
      <w:r>
        <w:rPr>
          <w:rFonts w:hint="eastAsia" w:ascii="宋体" w:hAnsi="宋体"/>
          <w:color w:val="auto"/>
          <w:sz w:val="24"/>
          <w:highlight w:val="none"/>
          <w:lang w:val="en-US" w:eastAsia="zh-CN"/>
        </w:rPr>
        <w:t xml:space="preserve">3</w:t>
      </w:r>
      <w:r>
        <w:rPr>
          <w:rFonts w:hint="eastAsia" w:ascii="宋体" w:hAnsi="宋体"/>
          <w:b/>
          <w:bCs/>
          <w:color w:val="auto"/>
          <w:sz w:val="24"/>
          <w:highlight w:val="none"/>
          <w:lang w:val="en-US" w:eastAsia="zh-CN"/>
        </w:rPr>
        <w:t xml:space="preserve">年。</w:t>
      </w:r>
      <w:r>
        <w:rPr>
          <w:rFonts w:hint="eastAsia" w:ascii="宋体" w:hAnsi="宋体"/>
          <w:color w:val="auto"/>
          <w:sz w:val="24"/>
          <w:highlight w:val="none"/>
        </w:rPr>
        <w:t xml:space="preserve">质保期间，中标人包维修、保养、安检、调换等，此部分包含在预算内。对于采购方人为原因造成的故障，中标人只收取维保成本费用。</w:t>
      </w:r>
      <w:r/>
    </w:p>
    <w:p>
      <w:pPr>
        <w:ind w:firstLine="480"/>
        <w:keepLines w:val="0"/>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地点：采购人指定地点。</w:t>
      </w:r>
      <w:r/>
    </w:p>
    <w:p>
      <w:pPr>
        <w:ind w:firstLine="480"/>
        <w:keepLines w:val="0"/>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质量：合格，符合国家有关规定。</w:t>
      </w:r>
      <w:r/>
    </w:p>
    <w:p>
      <w:pPr>
        <w:ind w:firstLine="480"/>
        <w:keepLines w:val="0"/>
        <w:pageBreakBefore w:val="0"/>
        <w:spacing w:line="360" w:lineRule="auto"/>
        <w:rPr>
          <w:rFonts w:hint="eastAsia" w:ascii="宋体" w:hAnsi="宋体"/>
          <w:b/>
          <w:bCs/>
          <w:color w:val="auto"/>
          <w:sz w:val="24"/>
          <w:highlight w:val="none"/>
        </w:rPr>
      </w:pPr>
      <w:r>
        <w:rPr>
          <w:rFonts w:hint="eastAsia" w:ascii="宋体" w:hAnsi="宋体"/>
          <w:color w:val="auto"/>
          <w:sz w:val="24"/>
          <w:highlight w:val="none"/>
        </w:rPr>
        <w:t xml:space="preserve">核心产品：</w:t>
      </w:r>
      <w:r>
        <w:rPr>
          <w:rFonts w:hint="eastAsia" w:ascii="宋体" w:hAnsi="宋体" w:cs="宋体"/>
          <w:b/>
          <w:color w:val="auto"/>
          <w:sz w:val="24"/>
          <w:highlight w:val="none"/>
          <w:u w:val="single"/>
          <w:lang w:eastAsia="zh-CN"/>
        </w:rPr>
        <w:t xml:space="preserve">“</w:t>
      </w:r>
      <w:r>
        <w:rPr>
          <w:rFonts w:hint="eastAsia" w:ascii="宋体" w:hAnsi="宋体" w:eastAsia="宋体" w:cs="宋体"/>
          <w:b/>
          <w:bCs/>
          <w:i w:val="0"/>
          <w:iCs w:val="0"/>
          <w:color w:val="auto"/>
          <w:sz w:val="24"/>
          <w:szCs w:val="24"/>
          <w:highlight w:val="none"/>
          <w:u w:val="single"/>
          <w:lang w:val="en-US" w:eastAsia="zh-CN" w:bidi="ar"/>
        </w:rPr>
        <w:t xml:space="preserve">高清虚拟演播室工作站</w:t>
      </w:r>
      <w:r>
        <w:rPr>
          <w:rFonts w:hint="eastAsia" w:ascii="宋体" w:hAnsi="宋体" w:cs="宋体"/>
          <w:b/>
          <w:color w:val="auto"/>
          <w:sz w:val="24"/>
          <w:highlight w:val="none"/>
          <w:u w:val="single"/>
          <w:lang w:eastAsia="zh-CN"/>
        </w:rPr>
        <w:t xml:space="preserve">”</w:t>
      </w:r>
      <w:r>
        <w:rPr>
          <w:rFonts w:hint="eastAsia" w:ascii="宋体" w:hAnsi="宋体" w:cs="宋体"/>
          <w:bCs/>
          <w:color w:val="auto"/>
          <w:sz w:val="24"/>
          <w:highlight w:val="none"/>
        </w:rPr>
        <w:t xml:space="preserve">。</w:t>
      </w:r>
      <w:r/>
    </w:p>
    <w:p>
      <w:pPr>
        <w:pStyle w:val="1016"/>
        <w:numPr>
          <w:ilvl w:val="0"/>
          <w:numId w:val="0"/>
        </w:numPr>
        <w:keepLines w:val="0"/>
        <w:pageBreakBefore w:val="0"/>
        <w:spacing w:line="360" w:lineRule="auto"/>
        <w:rPr>
          <w:rFonts w:hint="eastAsia"/>
          <w:color w:val="auto"/>
          <w:highlight w:val="none"/>
        </w:rPr>
      </w:pPr>
      <w:r>
        <w:rPr>
          <w:rFonts w:hint="eastAsia"/>
          <w:color w:val="auto"/>
          <w:highlight w:val="none"/>
        </w:rPr>
        <w:t xml:space="preserve">二、申请人的资格要求</w:t>
      </w:r>
      <w:r/>
    </w:p>
    <w:p>
      <w:pPr>
        <w:ind w:firstLine="480"/>
        <w:jc w:val="left"/>
        <w:keepLines w:val="0"/>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szCs w:val="28"/>
          <w:highlight w:val="none"/>
        </w:rPr>
        <w:t xml:space="preserve">满足《中华人民共和国政府采购法》第二十二条规定，并提供下列材料：</w:t>
      </w:r>
      <w:r/>
    </w:p>
    <w:p>
      <w:pPr>
        <w:pStyle w:val="1057"/>
        <w:ind w:firstLine="720"/>
        <w:jc w:val="both"/>
        <w:keepLines w:val="0"/>
        <w:pageBreakBefore w:val="0"/>
        <w:spacing w:before="0" w:beforeAutospacing="0" w:after="0" w:afterAutospacing="0" w:line="360" w:lineRule="auto"/>
        <w:rPr>
          <w:rFonts w:hint="eastAsia" w:ascii="Times New Roman" w:hAnsi="宋体" w:eastAsia="宋体" w:cs="Times New Roman"/>
          <w:bCs/>
          <w:color w:val="auto"/>
          <w:highlight w:val="none"/>
        </w:rPr>
      </w:pPr>
      <w:r>
        <w:rPr>
          <w:rFonts w:hint="eastAsia" w:ascii="Times New Roman" w:hAnsi="宋体" w:eastAsia="宋体" w:cs="Times New Roman"/>
          <w:bCs/>
          <w:color w:val="auto"/>
          <w:highlight w:val="none"/>
          <w:lang w:eastAsia="zh-CN"/>
        </w:rPr>
        <w:t xml:space="preserve">（</w:t>
      </w:r>
      <w:r>
        <w:rPr>
          <w:rFonts w:hint="eastAsia" w:ascii="Times New Roman" w:hAnsi="宋体" w:eastAsia="宋体" w:cs="Times New Roman"/>
          <w:bCs/>
          <w:color w:val="auto"/>
          <w:highlight w:val="none"/>
          <w:lang w:val="en-US" w:eastAsia="zh-CN"/>
        </w:rPr>
        <w:t xml:space="preserve">1</w:t>
      </w:r>
      <w:r>
        <w:rPr>
          <w:rFonts w:hint="eastAsia" w:ascii="Times New Roman" w:hAnsi="宋体" w:eastAsia="宋体" w:cs="Times New Roman"/>
          <w:bCs/>
          <w:color w:val="auto"/>
          <w:highlight w:val="none"/>
          <w:lang w:eastAsia="zh-CN"/>
        </w:rPr>
        <w:t xml:space="preserve">）</w:t>
      </w:r>
      <w:r>
        <w:rPr>
          <w:rFonts w:hint="eastAsia" w:ascii="Times New Roman" w:hAnsi="宋体" w:eastAsia="宋体" w:cs="Times New Roman"/>
          <w:bCs/>
          <w:color w:val="auto"/>
          <w:highlight w:val="none"/>
        </w:rPr>
        <w:t xml:space="preserve">法人或者其他组织的营业执照等证明文件，自然人的身份证明；</w:t>
      </w:r>
      <w:r/>
    </w:p>
    <w:p>
      <w:pPr>
        <w:pStyle w:val="1057"/>
        <w:ind w:firstLine="720"/>
        <w:jc w:val="both"/>
        <w:keepLines w:val="0"/>
        <w:pageBreakBefore w:val="0"/>
        <w:spacing w:before="0" w:beforeAutospacing="0" w:after="0" w:afterAutospacing="0" w:line="360" w:lineRule="auto"/>
        <w:rPr>
          <w:rFonts w:hint="eastAsia" w:ascii="Times New Roman" w:hAnsi="宋体" w:eastAsia="宋体" w:cs="Times New Roman"/>
          <w:bCs/>
          <w:color w:val="auto"/>
          <w:highlight w:val="none"/>
        </w:rPr>
      </w:pPr>
      <w:r>
        <w:rPr>
          <w:rFonts w:hint="eastAsia" w:ascii="Times New Roman" w:hAnsi="宋体" w:eastAsia="宋体" w:cs="Times New Roman"/>
          <w:bCs/>
          <w:color w:val="auto"/>
          <w:highlight w:val="none"/>
          <w:lang w:eastAsia="zh-CN"/>
        </w:rPr>
        <w:t xml:space="preserve">（</w:t>
      </w:r>
      <w:r>
        <w:rPr>
          <w:rFonts w:hint="eastAsia" w:ascii="Times New Roman" w:hAnsi="宋体" w:eastAsia="宋体" w:cs="Times New Roman"/>
          <w:bCs/>
          <w:color w:val="auto"/>
          <w:highlight w:val="none"/>
          <w:lang w:val="en-US" w:eastAsia="zh-CN"/>
        </w:rPr>
        <w:t xml:space="preserve">2</w:t>
      </w:r>
      <w:r>
        <w:rPr>
          <w:rFonts w:hint="eastAsia" w:ascii="Times New Roman" w:hAnsi="宋体" w:eastAsia="宋体" w:cs="Times New Roman"/>
          <w:bCs/>
          <w:color w:val="auto"/>
          <w:highlight w:val="none"/>
          <w:lang w:eastAsia="zh-CN"/>
        </w:rPr>
        <w:t xml:space="preserve">）</w:t>
      </w:r>
      <w:r>
        <w:rPr>
          <w:rFonts w:hint="eastAsia" w:ascii="Times New Roman" w:hAnsi="宋体" w:eastAsia="宋体" w:cs="Times New Roman"/>
          <w:bCs/>
          <w:color w:val="auto"/>
          <w:highlight w:val="none"/>
        </w:rPr>
        <w:t xml:space="preserve">上一年度的财务状况报告；（成立不满一年无需提供）</w:t>
      </w:r>
      <w:r/>
    </w:p>
    <w:p>
      <w:pPr>
        <w:pStyle w:val="1057"/>
        <w:ind w:firstLine="720"/>
        <w:jc w:val="both"/>
        <w:keepLines w:val="0"/>
        <w:pageBreakBefore w:val="0"/>
        <w:spacing w:before="0" w:beforeAutospacing="0" w:after="0" w:afterAutospacing="0" w:line="360" w:lineRule="auto"/>
        <w:rPr>
          <w:rFonts w:hint="eastAsia" w:ascii="Times New Roman" w:hAnsi="宋体" w:eastAsia="宋体" w:cs="Times New Roman"/>
          <w:bCs/>
          <w:color w:val="auto"/>
          <w:highlight w:val="none"/>
        </w:rPr>
      </w:pPr>
      <w:r>
        <w:rPr>
          <w:rFonts w:hint="eastAsia" w:ascii="Times New Roman" w:hAnsi="宋体" w:eastAsia="宋体" w:cs="Times New Roman"/>
          <w:bCs/>
          <w:color w:val="auto"/>
          <w:highlight w:val="none"/>
          <w:lang w:eastAsia="zh-CN"/>
        </w:rPr>
        <w:t xml:space="preserve">（</w:t>
      </w:r>
      <w:r>
        <w:rPr>
          <w:rFonts w:hint="eastAsia" w:ascii="Times New Roman" w:hAnsi="宋体" w:eastAsia="宋体" w:cs="Times New Roman"/>
          <w:bCs/>
          <w:color w:val="auto"/>
          <w:highlight w:val="none"/>
          <w:lang w:val="en-US" w:eastAsia="zh-CN"/>
        </w:rPr>
        <w:t xml:space="preserve">3</w:t>
      </w:r>
      <w:r>
        <w:rPr>
          <w:rFonts w:hint="eastAsia" w:ascii="Times New Roman" w:hAnsi="宋体" w:eastAsia="宋体" w:cs="Times New Roman"/>
          <w:bCs/>
          <w:color w:val="auto"/>
          <w:highlight w:val="none"/>
          <w:lang w:eastAsia="zh-CN"/>
        </w:rPr>
        <w:t xml:space="preserve">）</w:t>
      </w:r>
      <w:r>
        <w:rPr>
          <w:rFonts w:hint="eastAsia" w:ascii="Times New Roman" w:hAnsi="宋体" w:eastAsia="宋体" w:cs="Times New Roman"/>
          <w:bCs/>
          <w:color w:val="auto"/>
          <w:highlight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1057"/>
        <w:ind w:firstLine="964"/>
        <w:jc w:val="both"/>
        <w:keepLines w:val="0"/>
        <w:pageBreakBefore w:val="0"/>
        <w:spacing w:before="0" w:beforeAutospacing="0" w:after="0" w:afterAutospacing="0" w:line="360" w:lineRule="auto"/>
        <w:rPr>
          <w:rFonts w:hint="eastAsia" w:ascii="Times New Roman" w:hAnsi="宋体" w:eastAsia="宋体" w:cs="Times New Roman"/>
          <w:b/>
          <w:bCs w:val="0"/>
          <w:color w:val="auto"/>
          <w:highlight w:val="none"/>
          <w:lang w:eastAsia="zh-CN"/>
        </w:rPr>
      </w:pPr>
      <w:r>
        <w:rPr>
          <w:rFonts w:hint="eastAsia" w:ascii="Times New Roman" w:hAnsi="宋体" w:eastAsia="宋体" w:cs="Times New Roman"/>
          <w:b/>
          <w:bCs w:val="0"/>
          <w:color w:val="auto"/>
          <w:highlight w:val="none"/>
          <w:lang w:eastAsia="zh-CN"/>
        </w:rPr>
        <w:t xml:space="preserve">注：</w:t>
      </w:r>
      <w:r>
        <w:rPr>
          <w:rFonts w:hint="eastAsia" w:ascii="Times New Roman" w:hAnsi="宋体" w:eastAsia="宋体" w:cs="Times New Roman"/>
          <w:b/>
          <w:bCs w:val="0"/>
          <w:color w:val="auto"/>
          <w:highlight w:val="none"/>
        </w:rPr>
        <w:t xml:space="preserve">根据连财购〔2023〕4号文件精神，</w:t>
      </w:r>
      <w:r>
        <w:rPr>
          <w:rFonts w:hint="eastAsia" w:ascii="Times New Roman" w:hAnsi="宋体" w:eastAsia="宋体" w:cs="Times New Roman"/>
          <w:b/>
          <w:bCs w:val="0"/>
          <w:color w:val="auto"/>
          <w:highlight w:val="none"/>
          <w:lang w:eastAsia="zh-CN"/>
        </w:rPr>
        <w:t xml:space="preserve">（</w:t>
      </w:r>
      <w:r>
        <w:rPr>
          <w:rFonts w:hint="eastAsia" w:ascii="Times New Roman" w:hAnsi="宋体" w:eastAsia="宋体" w:cs="Times New Roman"/>
          <w:b/>
          <w:bCs w:val="0"/>
          <w:color w:val="auto"/>
          <w:highlight w:val="none"/>
          <w:lang w:val="en-US" w:eastAsia="zh-CN"/>
        </w:rPr>
        <w:t xml:space="preserve">2</w:t>
      </w:r>
      <w:r>
        <w:rPr>
          <w:rFonts w:hint="eastAsia" w:ascii="Times New Roman" w:hAnsi="宋体" w:eastAsia="宋体" w:cs="Times New Roman"/>
          <w:b/>
          <w:bCs w:val="0"/>
          <w:color w:val="auto"/>
          <w:highlight w:val="none"/>
          <w:lang w:eastAsia="zh-CN"/>
        </w:rPr>
        <w:t xml:space="preserve">）、（</w:t>
      </w:r>
      <w:r>
        <w:rPr>
          <w:rFonts w:hint="eastAsia" w:ascii="Times New Roman" w:hAnsi="宋体" w:eastAsia="宋体" w:cs="Times New Roman"/>
          <w:b/>
          <w:bCs w:val="0"/>
          <w:color w:val="auto"/>
          <w:highlight w:val="none"/>
          <w:lang w:val="en-US" w:eastAsia="zh-CN"/>
        </w:rPr>
        <w:t xml:space="preserve">3</w:t>
      </w:r>
      <w:r>
        <w:rPr>
          <w:rFonts w:hint="eastAsia" w:ascii="Times New Roman" w:hAnsi="宋体" w:eastAsia="宋体" w:cs="Times New Roman"/>
          <w:b/>
          <w:bCs w:val="0"/>
          <w:color w:val="auto"/>
          <w:highlight w:val="none"/>
          <w:lang w:eastAsia="zh-CN"/>
        </w:rPr>
        <w:t xml:space="preserve">）</w:t>
      </w:r>
      <w:r>
        <w:rPr>
          <w:rFonts w:hint="eastAsia" w:ascii="Times New Roman" w:hAnsi="宋体" w:eastAsia="宋体" w:cs="Times New Roman"/>
          <w:b/>
          <w:bCs w:val="0"/>
          <w:color w:val="auto"/>
          <w:highlight w:val="none"/>
        </w:rPr>
        <w:t xml:space="preserve">项可以提供《财务状况报告及税收、社会保障资金缴纳情况承诺函》，详见投标文件格式</w:t>
      </w:r>
      <w:r>
        <w:rPr>
          <w:rFonts w:hint="eastAsia" w:ascii="Times New Roman" w:cs="Times New Roman"/>
          <w:b/>
          <w:bCs w:val="0"/>
          <w:color w:val="auto"/>
          <w:highlight w:val="none"/>
          <w:lang w:eastAsia="zh-CN"/>
        </w:rPr>
        <w:t xml:space="preserve">。</w:t>
      </w:r>
      <w:r/>
    </w:p>
    <w:p>
      <w:pPr>
        <w:pStyle w:val="1057"/>
        <w:ind w:firstLine="720"/>
        <w:jc w:val="both"/>
        <w:keepLines w:val="0"/>
        <w:pageBreakBefore w:val="0"/>
        <w:spacing w:before="0" w:beforeAutospacing="0" w:after="0" w:afterAutospacing="0" w:line="360" w:lineRule="auto"/>
        <w:rPr>
          <w:rFonts w:hint="eastAsia" w:ascii="Times New Roman" w:hAnsi="宋体" w:eastAsia="宋体" w:cs="Times New Roman"/>
          <w:bCs/>
          <w:color w:val="auto"/>
          <w:highlight w:val="none"/>
        </w:rPr>
      </w:pPr>
      <w:r>
        <w:rPr>
          <w:rFonts w:hint="eastAsia" w:ascii="Times New Roman" w:hAnsi="宋体" w:eastAsia="宋体" w:cs="Times New Roman"/>
          <w:bCs/>
          <w:color w:val="auto"/>
          <w:highlight w:val="none"/>
          <w:lang w:eastAsia="zh-CN"/>
        </w:rPr>
        <w:t xml:space="preserve">（</w:t>
      </w:r>
      <w:r>
        <w:rPr>
          <w:rFonts w:hint="eastAsia" w:ascii="Times New Roman" w:hAnsi="宋体" w:eastAsia="宋体" w:cs="Times New Roman"/>
          <w:bCs/>
          <w:color w:val="auto"/>
          <w:highlight w:val="none"/>
          <w:lang w:val="en-US" w:eastAsia="zh-CN"/>
        </w:rPr>
        <w:t xml:space="preserve">4</w:t>
      </w:r>
      <w:r>
        <w:rPr>
          <w:rFonts w:hint="eastAsia" w:ascii="Times New Roman" w:hAnsi="宋体" w:eastAsia="宋体" w:cs="Times New Roman"/>
          <w:bCs/>
          <w:color w:val="auto"/>
          <w:highlight w:val="none"/>
          <w:lang w:eastAsia="zh-CN"/>
        </w:rPr>
        <w:t xml:space="preserve">）</w:t>
      </w:r>
      <w:r>
        <w:rPr>
          <w:rFonts w:hint="eastAsia" w:ascii="Times New Roman" w:hAnsi="宋体" w:eastAsia="宋体" w:cs="Times New Roman"/>
          <w:bCs/>
          <w:color w:val="auto"/>
          <w:highlight w:val="none"/>
        </w:rPr>
        <w:t xml:space="preserve">具备履行合同所必需的设备和专业技术能力的声明及证明材料</w:t>
      </w:r>
      <w:r>
        <w:rPr>
          <w:rFonts w:hint="eastAsia" w:ascii="Times New Roman" w:hAnsi="宋体" w:eastAsia="宋体" w:cs="Times New Roman"/>
          <w:bCs/>
          <w:color w:val="auto"/>
          <w:highlight w:val="none"/>
          <w:lang w:eastAsia="zh-CN"/>
        </w:rPr>
        <w:t xml:space="preserve">（</w:t>
      </w:r>
      <w:r>
        <w:rPr>
          <w:rFonts w:hint="eastAsia" w:ascii="Times New Roman" w:hAnsi="宋体" w:eastAsia="宋体" w:cs="Times New Roman"/>
          <w:bCs/>
          <w:color w:val="auto"/>
          <w:highlight w:val="none"/>
        </w:rPr>
        <w:t xml:space="preserve">见投标文件格式</w:t>
      </w:r>
      <w:r>
        <w:rPr>
          <w:rFonts w:hint="eastAsia" w:ascii="Times New Roman" w:hAnsi="宋体" w:eastAsia="宋体" w:cs="Times New Roman"/>
          <w:bCs/>
          <w:color w:val="auto"/>
          <w:highlight w:val="none"/>
          <w:lang w:eastAsia="zh-CN"/>
        </w:rPr>
        <w:t xml:space="preserve">，按要求提供证明材料）</w:t>
      </w:r>
      <w:r>
        <w:rPr>
          <w:rFonts w:hint="eastAsia" w:ascii="Times New Roman" w:hAnsi="宋体" w:eastAsia="宋体" w:cs="Times New Roman"/>
          <w:bCs/>
          <w:color w:val="auto"/>
          <w:highlight w:val="none"/>
        </w:rPr>
        <w:t xml:space="preserve">；</w:t>
      </w:r>
      <w:r/>
    </w:p>
    <w:p>
      <w:pPr>
        <w:pStyle w:val="1057"/>
        <w:ind w:firstLine="720"/>
        <w:jc w:val="both"/>
        <w:keepLines w:val="0"/>
        <w:pageBreakBefore w:val="0"/>
        <w:spacing w:before="0" w:beforeAutospacing="0" w:after="0" w:afterAutospacing="0" w:line="360" w:lineRule="auto"/>
        <w:rPr>
          <w:rFonts w:hint="eastAsia" w:ascii="Times New Roman" w:hAnsi="宋体" w:eastAsia="宋体" w:cs="Times New Roman"/>
          <w:bCs/>
          <w:color w:val="auto"/>
          <w:highlight w:val="none"/>
        </w:rPr>
      </w:pPr>
      <w:r>
        <w:rPr>
          <w:rFonts w:hint="eastAsia" w:ascii="Times New Roman" w:hAnsi="宋体" w:eastAsia="宋体" w:cs="Times New Roman"/>
          <w:bCs/>
          <w:color w:val="auto"/>
          <w:highlight w:val="none"/>
          <w:lang w:eastAsia="zh-CN"/>
        </w:rPr>
        <w:t xml:space="preserve">（</w:t>
      </w:r>
      <w:r>
        <w:rPr>
          <w:rFonts w:hint="eastAsia" w:ascii="Times New Roman" w:hAnsi="宋体" w:eastAsia="宋体" w:cs="Times New Roman"/>
          <w:bCs/>
          <w:color w:val="auto"/>
          <w:highlight w:val="none"/>
          <w:lang w:val="en-US" w:eastAsia="zh-CN"/>
        </w:rPr>
        <w:t xml:space="preserve">5</w:t>
      </w:r>
      <w:r>
        <w:rPr>
          <w:rFonts w:hint="eastAsia" w:ascii="Times New Roman" w:hAnsi="宋体" w:eastAsia="宋体" w:cs="Times New Roman"/>
          <w:bCs/>
          <w:color w:val="auto"/>
          <w:highlight w:val="none"/>
          <w:lang w:eastAsia="zh-CN"/>
        </w:rPr>
        <w:t xml:space="preserve">）</w:t>
      </w:r>
      <w:r>
        <w:rPr>
          <w:rFonts w:hint="eastAsia" w:ascii="Times New Roman" w:hAnsi="宋体" w:eastAsia="宋体" w:cs="Times New Roman"/>
          <w:bCs/>
          <w:color w:val="auto"/>
          <w:highlight w:val="none"/>
        </w:rPr>
        <w:t xml:space="preserve">参加政府采购活动前3年内在经营活动中没有重大违法记录的书面声明</w:t>
      </w:r>
      <w:r>
        <w:rPr>
          <w:rFonts w:hint="eastAsia" w:ascii="Times New Roman" w:hAnsi="宋体" w:eastAsia="宋体" w:cs="Times New Roman"/>
          <w:bCs/>
          <w:color w:val="auto"/>
          <w:highlight w:val="none"/>
          <w:lang w:eastAsia="zh-CN"/>
        </w:rPr>
        <w:t xml:space="preserve">（</w:t>
      </w:r>
      <w:r>
        <w:rPr>
          <w:rFonts w:hint="eastAsia" w:ascii="Times New Roman" w:hAnsi="宋体" w:eastAsia="宋体" w:cs="Times New Roman"/>
          <w:bCs/>
          <w:color w:val="auto"/>
          <w:highlight w:val="none"/>
        </w:rPr>
        <w:t xml:space="preserve">详见投标文件格式</w:t>
      </w:r>
      <w:r>
        <w:rPr>
          <w:rFonts w:hint="eastAsia" w:ascii="Times New Roman" w:hAnsi="宋体" w:eastAsia="宋体" w:cs="Times New Roman"/>
          <w:bCs/>
          <w:color w:val="auto"/>
          <w:highlight w:val="none"/>
          <w:lang w:eastAsia="zh-CN"/>
        </w:rPr>
        <w:t xml:space="preserve">）</w:t>
      </w:r>
      <w:r>
        <w:rPr>
          <w:rFonts w:hint="eastAsia" w:ascii="Times New Roman" w:hAnsi="宋体" w:eastAsia="宋体" w:cs="Times New Roman"/>
          <w:bCs/>
          <w:color w:val="auto"/>
          <w:highlight w:val="none"/>
        </w:rPr>
        <w:t xml:space="preserve">；</w:t>
      </w:r>
      <w:r/>
    </w:p>
    <w:p>
      <w:pPr>
        <w:pStyle w:val="1057"/>
        <w:ind w:firstLine="720"/>
        <w:jc w:val="both"/>
        <w:keepLines w:val="0"/>
        <w:pageBreakBefore w:val="0"/>
        <w:spacing w:before="0" w:beforeAutospacing="0" w:after="0" w:afterAutospacing="0" w:line="360" w:lineRule="auto"/>
        <w:rPr>
          <w:rFonts w:hint="eastAsia" w:ascii="Times New Roman" w:hAnsi="宋体" w:eastAsia="宋体" w:cs="Times New Roman"/>
          <w:bCs/>
          <w:color w:val="auto"/>
          <w:highlight w:val="none"/>
          <w:lang w:eastAsia="zh-CN"/>
        </w:rPr>
      </w:pPr>
      <w:r>
        <w:rPr>
          <w:rFonts w:hint="eastAsia" w:ascii="Times New Roman" w:hAnsi="宋体" w:eastAsia="宋体" w:cs="Times New Roman"/>
          <w:bCs/>
          <w:color w:val="auto"/>
          <w:highlight w:val="none"/>
          <w:lang w:eastAsia="zh-CN"/>
        </w:rPr>
        <w:t xml:space="preserve">（</w:t>
      </w:r>
      <w:r>
        <w:rPr>
          <w:rFonts w:hint="eastAsia" w:ascii="Times New Roman" w:hAnsi="宋体" w:eastAsia="宋体" w:cs="Times New Roman"/>
          <w:bCs/>
          <w:color w:val="auto"/>
          <w:highlight w:val="none"/>
          <w:lang w:val="en-US" w:eastAsia="zh-CN"/>
        </w:rPr>
        <w:t xml:space="preserve">6</w:t>
      </w:r>
      <w:r>
        <w:rPr>
          <w:rFonts w:hint="eastAsia" w:ascii="Times New Roman" w:hAnsi="宋体" w:eastAsia="宋体" w:cs="Times New Roman"/>
          <w:bCs/>
          <w:color w:val="auto"/>
          <w:highlight w:val="none"/>
          <w:lang w:eastAsia="zh-CN"/>
        </w:rPr>
        <w:t xml:space="preserve">）</w:t>
      </w:r>
      <w:r>
        <w:rPr>
          <w:rFonts w:hint="eastAsia" w:ascii="Times New Roman" w:hAnsi="宋体" w:eastAsia="宋体" w:cs="Times New Roman"/>
          <w:bCs/>
          <w:color w:val="auto"/>
          <w:highlight w:val="none"/>
        </w:rPr>
        <w:t xml:space="preserve">法律、行政法规规定的其他条件</w:t>
      </w:r>
      <w:r>
        <w:rPr>
          <w:rFonts w:hint="eastAsia" w:ascii="Times New Roman" w:hAnsi="宋体" w:eastAsia="宋体" w:cs="Times New Roman"/>
          <w:bCs/>
          <w:color w:val="auto"/>
          <w:highlight w:val="none"/>
          <w:lang w:eastAsia="zh-CN"/>
        </w:rPr>
        <w:t xml:space="preserve">。</w:t>
      </w:r>
      <w:r/>
    </w:p>
    <w:p>
      <w:pPr>
        <w:pStyle w:val="1057"/>
        <w:contextualSpacing/>
        <w:ind w:firstLine="480"/>
        <w:keepLines w:val="0"/>
        <w:pageBreakBefore w:val="0"/>
        <w:spacing w:before="0" w:beforeAutospacing="0" w:after="0" w:afterAutospacing="0" w:line="360" w:lineRule="auto"/>
        <w:rPr>
          <w:rFonts w:hint="eastAsia" w:ascii="Times New Roman" w:hAnsi="Times New Roman" w:eastAsia="宋体" w:cs="Times New Roman"/>
          <w:b/>
          <w:bCs/>
          <w:color w:val="auto"/>
          <w:sz w:val="24"/>
          <w:szCs w:val="24"/>
          <w:highlight w:val="none"/>
          <w:lang w:val="en-US" w:eastAsia="zh-CN"/>
        </w:rPr>
      </w:pPr>
      <w:r>
        <w:rPr>
          <w:rFonts w:hint="eastAsia" w:ascii="宋体" w:hAnsi="宋体"/>
          <w:color w:val="auto"/>
          <w:sz w:val="24"/>
          <w:highlight w:val="none"/>
        </w:rPr>
        <w:t xml:space="preserve">2.落实政府采购政策需满足的资</w:t>
      </w:r>
      <w:r>
        <w:rPr>
          <w:rFonts w:hint="eastAsia" w:ascii="Times New Roman" w:hAnsi="宋体" w:eastAsia="宋体" w:cs="Times New Roman"/>
          <w:bCs/>
          <w:color w:val="auto"/>
          <w:highlight w:val="none"/>
        </w:rPr>
        <w:t xml:space="preserve">格要求：</w:t>
      </w:r>
      <w:r>
        <w:rPr>
          <w:rFonts w:hint="eastAsia" w:ascii="Times New Roman" w:hAnsi="宋体" w:eastAsia="宋体" w:cs="Times New Roman"/>
          <w:bCs/>
          <w:color w:val="auto"/>
          <w:highlight w:val="none"/>
          <w:lang w:val="en-US" w:eastAsia="zh-CN"/>
        </w:rPr>
        <w:t xml:space="preserve">无。</w:t>
      </w:r>
      <w:r/>
    </w:p>
    <w:p>
      <w:pPr>
        <w:ind w:firstLine="480"/>
        <w:jc w:val="left"/>
        <w:keepLines w:val="0"/>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3.本项目的特定资格要求：无。</w:t>
      </w:r>
      <w:r/>
    </w:p>
    <w:p>
      <w:pPr>
        <w:ind w:firstLine="480"/>
        <w:jc w:val="left"/>
        <w:keepLines w:val="0"/>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4.本项目的其他资格要求：</w:t>
      </w:r>
      <w:r/>
    </w:p>
    <w:p>
      <w:pPr>
        <w:ind w:firstLine="480"/>
        <w:jc w:val="left"/>
        <w:keepLines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（1）资格审查现场查询时，被信用中国、中国政府采购网列入失信被执行人、</w:t>
      </w:r>
      <w:r>
        <w:rPr>
          <w:rFonts w:ascii="宋体" w:hAnsi="宋体" w:cs="宋体"/>
          <w:color w:val="auto"/>
          <w:sz w:val="24"/>
          <w:highlight w:val="none"/>
        </w:rPr>
        <w:t xml:space="preserve">税收违法黑名单</w:t>
      </w:r>
      <w:r>
        <w:rPr>
          <w:rFonts w:hint="eastAsia" w:ascii="宋体" w:hAnsi="宋体"/>
          <w:color w:val="auto"/>
          <w:sz w:val="24"/>
          <w:highlight w:val="none"/>
        </w:rPr>
        <w:t xml:space="preserve">、政府采购严重违法失信行为记录名单的投标人，拒绝其参与政府采购活动。</w:t>
      </w:r>
      <w:r/>
    </w:p>
    <w:p>
      <w:pPr>
        <w:ind w:firstLine="480"/>
        <w:jc w:val="left"/>
        <w:keepLines w:val="0"/>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（2）本项目不接受进口产品（进口产品是指通过中国海关报关验放进入中国境内且产自关境外的产品）投标，中标后不允许分包或转包。</w:t>
      </w:r>
      <w:r/>
    </w:p>
    <w:p>
      <w:pPr>
        <w:pStyle w:val="1016"/>
        <w:numPr>
          <w:ilvl w:val="0"/>
          <w:numId w:val="0"/>
        </w:numPr>
        <w:keepLines w:val="0"/>
        <w:pageBreakBefore w:val="0"/>
        <w:spacing w:line="360" w:lineRule="auto"/>
        <w:rPr>
          <w:rFonts w:hint="eastAsia"/>
          <w:color w:val="auto"/>
          <w:highlight w:val="none"/>
        </w:rPr>
      </w:pPr>
      <w:r>
        <w:rPr>
          <w:rFonts w:hint="eastAsia"/>
          <w:color w:val="auto"/>
          <w:highlight w:val="none"/>
        </w:rPr>
        <w:t xml:space="preserve">三、获取招标文件</w:t>
      </w:r>
      <w:r/>
    </w:p>
    <w:p>
      <w:pPr>
        <w:pStyle w:val="1057"/>
        <w:contextualSpacing/>
        <w:ind w:firstLine="482"/>
        <w:keepLines w:val="0"/>
        <w:pageBreakBefore w:val="0"/>
        <w:spacing w:before="0" w:beforeAutospacing="0" w:after="0" w:afterAutospacing="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eastAsia="zh-CN"/>
        </w:rPr>
        <w:t xml:space="preserve">时间：</w:t>
      </w:r>
      <w:r>
        <w:rPr>
          <w:rFonts w:ascii="Times New Roman" w:hAnsi="Times New Roman" w:eastAsia="宋体" w:cs="Times New Roman"/>
          <w:b/>
          <w:bCs/>
          <w:color w:val="auto"/>
          <w:sz w:val="24"/>
          <w:szCs w:val="24"/>
          <w:highlight w:val="none"/>
        </w:rPr>
        <w:t xml:space="preserve">自本公告发布之日起5个工作日</w:t>
      </w:r>
      <w:r>
        <w:rPr>
          <w:rFonts w:hint="eastAsia" w:ascii="宋体" w:hAnsi="宋体" w:eastAsia="宋体" w:cs="宋体"/>
          <w:b/>
          <w:bCs/>
          <w:color w:val="auto"/>
          <w:sz w:val="24"/>
          <w:szCs w:val="24"/>
          <w:highlight w:val="none"/>
        </w:rPr>
        <w:t xml:space="preserve">；</w:t>
      </w:r>
      <w:r/>
    </w:p>
    <w:p>
      <w:pPr>
        <w:pStyle w:val="1057"/>
        <w:contextualSpacing/>
        <w:ind w:firstLine="482"/>
        <w:keepLines w:val="0"/>
        <w:pageBreakBefore w:val="0"/>
        <w:spacing w:before="0" w:beforeAutospacing="0" w:after="0" w:afterAutospacing="0"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方式：在“江苏政府采购网”自行免费下载招标文件</w:t>
      </w:r>
      <w:r>
        <w:rPr>
          <w:rFonts w:hint="eastAsia" w:ascii="宋体" w:hAnsi="宋体" w:eastAsia="宋体" w:cs="宋体"/>
          <w:b/>
          <w:bCs/>
          <w:color w:val="auto"/>
          <w:sz w:val="24"/>
          <w:szCs w:val="24"/>
          <w:highlight w:val="none"/>
          <w:lang w:eastAsia="zh-CN"/>
        </w:rPr>
        <w:t xml:space="preserve">。</w:t>
      </w:r>
      <w:r/>
    </w:p>
    <w:p>
      <w:pPr>
        <w:pStyle w:val="1057"/>
        <w:contextualSpacing/>
        <w:ind w:firstLine="964"/>
        <w:keepLines w:val="0"/>
        <w:pageBreakBefore w:val="0"/>
        <w:spacing w:before="0" w:beforeAutospacing="0" w:after="0" w:afterAutospacing="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方法及步骤如下（可参考）：</w:t>
      </w:r>
      <w:r/>
    </w:p>
    <w:p>
      <w:pPr>
        <w:pStyle w:val="1057"/>
        <w:contextualSpacing/>
        <w:ind w:firstLine="960"/>
        <w:keepLines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登录http://jszfcg.jsczt.cn/ ，或进入江苏政府采购网，点击“苏采云”进入系统。</w:t>
      </w:r>
      <w:r/>
    </w:p>
    <w:p>
      <w:pPr>
        <w:pStyle w:val="1057"/>
        <w:contextualSpacing/>
        <w:ind w:firstLine="960"/>
        <w:keepLines w:val="0"/>
        <w:pageBreakBefore w:val="0"/>
        <w:spacing w:before="0" w:beforeAutospacing="0" w:after="0" w:afterAutospacing="0"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②“苏采云”系统用户注册-获取“CA数字证书”-CA绑定与登录-网上报名-下载</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(后缀名为“.kedt”)-将后缀名为“.kedt”的</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导入政府采购客户端工具-制作</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--导出加密的</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(后缀名为zip)--通过“苏采云”系统上传投标文件。</w:t>
      </w:r>
      <w:r>
        <w:rPr>
          <w:rFonts w:hint="eastAsia" w:ascii="宋体" w:hAnsi="宋体" w:eastAsia="宋体" w:cs="宋体"/>
          <w:b/>
          <w:bCs/>
          <w:color w:val="auto"/>
          <w:sz w:val="24"/>
          <w:szCs w:val="24"/>
          <w:highlight w:val="none"/>
        </w:rPr>
        <w:t xml:space="preserve">具体见《江苏省政府采购管理交易系统(苏采云)</w:t>
      </w:r>
      <w:r>
        <w:rPr>
          <w:rFonts w:hint="eastAsia" w:ascii="宋体" w:hAnsi="宋体" w:eastAsia="宋体" w:cs="宋体"/>
          <w:b/>
          <w:bCs/>
          <w:color w:val="auto"/>
          <w:sz w:val="24"/>
          <w:szCs w:val="24"/>
          <w:highlight w:val="none"/>
          <w:lang w:eastAsia="zh-CN"/>
        </w:rPr>
        <w:t xml:space="preserve">投标人</w:t>
      </w:r>
      <w:r>
        <w:rPr>
          <w:rFonts w:hint="eastAsia" w:ascii="宋体" w:hAnsi="宋体" w:eastAsia="宋体" w:cs="宋体"/>
          <w:b/>
          <w:bCs/>
          <w:color w:val="auto"/>
          <w:sz w:val="24"/>
          <w:szCs w:val="24"/>
          <w:highlight w:val="none"/>
        </w:rPr>
        <w:t xml:space="preserve">操作手册》。</w:t>
      </w:r>
      <w:r/>
    </w:p>
    <w:p>
      <w:pPr>
        <w:pStyle w:val="1057"/>
        <w:contextualSpacing/>
        <w:ind w:firstLine="960"/>
        <w:keepLines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③潜在</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访问“苏采云”系统的网络地址和方法:“苏采云”系统的网址:http://jszfcg.jsczt.cn/。</w:t>
      </w:r>
      <w:r/>
    </w:p>
    <w:p>
      <w:pPr>
        <w:pStyle w:val="1057"/>
        <w:contextualSpacing/>
        <w:ind w:firstLine="960"/>
        <w:keepLines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④“CA数字证书”的获取:</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需办理CA锁，“苏采云”系统目前仅支持政务CA、方正签章，省内各地区办理的用于“苏采云”平台的政务CA、方正签章全省通用。“CA数字证书”的办理方法详见《江苏省政府采购数字证书(</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)CA及电子签章办理指南》。</w:t>
      </w:r>
      <w:r/>
    </w:p>
    <w:p>
      <w:pPr>
        <w:pStyle w:val="1057"/>
        <w:contextualSpacing/>
        <w:ind w:firstLine="960"/>
        <w:keepLines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⑤</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(后缀名为“.kedt”)、</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操作手册及政府采购客户端工具可通过“苏采云”系统--已报名项目--报名详情页面内相应链接进行下载。</w:t>
      </w:r>
      <w:r/>
    </w:p>
    <w:p>
      <w:pPr>
        <w:pStyle w:val="1057"/>
        <w:contextualSpacing/>
        <w:ind w:firstLine="960"/>
        <w:keepLines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⑥</w:t>
      </w:r>
      <w:r>
        <w:rPr>
          <w:rFonts w:hint="eastAsia"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将数据电文形式的</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加载至“苏采云”系统，供潜在</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下载或者查阅。</w:t>
      </w:r>
      <w:r/>
    </w:p>
    <w:p>
      <w:pPr>
        <w:pStyle w:val="1057"/>
        <w:contextualSpacing/>
        <w:ind w:firstLine="960"/>
        <w:keepLines w:val="0"/>
        <w:pageBreakBefore w:val="0"/>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⑦请潜在投标单位提前安装相应的控件(详见《江苏省政府采购管理交易系统(苏采云)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操作手册&gt;)并使用谷歌浏览器登录“苏采云”系统参与不见面开评标。</w:t>
      </w:r>
      <w:r/>
    </w:p>
    <w:p>
      <w:pPr>
        <w:pStyle w:val="1016"/>
        <w:numPr>
          <w:ilvl w:val="0"/>
          <w:numId w:val="0"/>
        </w:numPr>
        <w:keepLines w:val="0"/>
        <w:pageBreakBefore w:val="0"/>
        <w:spacing w:line="360" w:lineRule="auto"/>
        <w:rPr>
          <w:rFonts w:hint="eastAsia"/>
          <w:color w:val="auto"/>
          <w:highlight w:val="none"/>
        </w:rPr>
      </w:pPr>
      <w:r>
        <w:rPr>
          <w:rFonts w:hint="eastAsia"/>
          <w:color w:val="auto"/>
          <w:highlight w:val="none"/>
        </w:rPr>
        <w:t xml:space="preserve">四、提交投标文件截止时间、开标时间和地点</w:t>
      </w:r>
      <w:r/>
    </w:p>
    <w:p>
      <w:pPr>
        <w:contextualSpacing/>
        <w:ind w:firstLine="600"/>
        <w:jc w:val="left"/>
        <w:keepLines w:val="0"/>
        <w:pageBreakBefore w:val="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1、电子</w:t>
      </w:r>
      <w:r>
        <w:rPr>
          <w:rFonts w:hint="eastAsia" w:ascii="宋体" w:hAnsi="宋体" w:cs="宋体"/>
          <w:color w:val="auto"/>
          <w:sz w:val="24"/>
          <w:szCs w:val="24"/>
          <w:highlight w:val="none"/>
          <w:lang w:eastAsia="zh-CN"/>
        </w:rPr>
        <w:t xml:space="preserve">投标文件</w:t>
      </w:r>
      <w:r>
        <w:rPr>
          <w:rFonts w:hint="eastAsia" w:ascii="宋体" w:hAnsi="宋体" w:cs="宋体"/>
          <w:color w:val="auto"/>
          <w:sz w:val="24"/>
          <w:szCs w:val="24"/>
          <w:highlight w:val="none"/>
        </w:rPr>
        <w:t xml:space="preserve">递交截止时间与地点：</w:t>
      </w:r>
      <w:r/>
    </w:p>
    <w:p>
      <w:pPr>
        <w:contextualSpacing/>
        <w:ind w:firstLine="602"/>
        <w:jc w:val="left"/>
        <w:keepLines w:val="0"/>
        <w:pageBreakBefore w:val="0"/>
        <w:spacing w:line="360" w:lineRule="auto"/>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时间：2025年9</w:t>
      </w:r>
      <w:r>
        <w:rPr>
          <w:rFonts w:hint="eastAsia" w:ascii="宋体" w:hAnsi="宋体" w:cs="宋体"/>
          <w:b/>
          <w:color w:val="auto"/>
          <w:sz w:val="24"/>
          <w:szCs w:val="24"/>
          <w:highlight w:val="none"/>
        </w:rPr>
        <w:t xml:space="preserve">月</w:t>
      </w:r>
      <w:r>
        <w:rPr>
          <w:rFonts w:hint="eastAsia" w:ascii="宋体" w:hAnsi="宋体" w:cs="宋体"/>
          <w:b/>
          <w:color w:val="auto"/>
          <w:sz w:val="24"/>
          <w:szCs w:val="24"/>
          <w:highlight w:val="none"/>
        </w:rPr>
        <w:t xml:space="preserve">16日09</w:t>
      </w:r>
      <w:r>
        <w:rPr>
          <w:rFonts w:hint="eastAsia" w:ascii="宋体" w:hAnsi="宋体" w:cs="宋体"/>
          <w:b/>
          <w:color w:val="auto"/>
          <w:sz w:val="24"/>
          <w:szCs w:val="24"/>
          <w:highlight w:val="none"/>
        </w:rPr>
        <w:t xml:space="preserve">时00分（北京时间）</w:t>
      </w:r>
      <w:r/>
    </w:p>
    <w:p>
      <w:pPr>
        <w:contextualSpacing/>
        <w:ind w:firstLine="602"/>
        <w:jc w:val="left"/>
        <w:keepLines w:val="0"/>
        <w:pageBreakBefore w:val="0"/>
        <w:spacing w:line="360" w:lineRule="auto"/>
        <w:widowControl/>
        <w:rPr>
          <w:rFonts w:hint="eastAsia"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地址：“苏采云”政府采购交易系统网上开标大厅。</w:t>
      </w:r>
      <w:r/>
    </w:p>
    <w:p>
      <w:pPr>
        <w:contextualSpacing/>
        <w:ind w:firstLine="600"/>
        <w:jc w:val="left"/>
        <w:keepLines w:val="0"/>
        <w:pageBreakBefore w:val="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2、开启时间与地点：</w:t>
      </w:r>
      <w:r/>
    </w:p>
    <w:p>
      <w:pPr>
        <w:contextualSpacing/>
        <w:ind w:firstLine="602"/>
        <w:jc w:val="left"/>
        <w:keepLines w:val="0"/>
        <w:pageBreakBefore w:val="0"/>
        <w:spacing w:line="360" w:lineRule="auto"/>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时间：2025年9</w:t>
      </w:r>
      <w:r>
        <w:rPr>
          <w:rFonts w:hint="eastAsia" w:ascii="宋体" w:hAnsi="宋体" w:cs="宋体"/>
          <w:b/>
          <w:color w:val="auto"/>
          <w:sz w:val="24"/>
          <w:szCs w:val="24"/>
          <w:highlight w:val="none"/>
        </w:rPr>
        <w:t xml:space="preserve">月16</w:t>
      </w:r>
      <w:r>
        <w:rPr>
          <w:rFonts w:hint="eastAsia" w:ascii="宋体" w:hAnsi="宋体" w:cs="宋体"/>
          <w:b/>
          <w:color w:val="auto"/>
          <w:sz w:val="24"/>
          <w:szCs w:val="24"/>
          <w:highlight w:val="none"/>
        </w:rPr>
        <w:t xml:space="preserve">日09</w:t>
      </w:r>
      <w:r>
        <w:rPr>
          <w:rFonts w:hint="eastAsia" w:ascii="宋体" w:hAnsi="宋体" w:cs="宋体"/>
          <w:b/>
          <w:color w:val="auto"/>
          <w:sz w:val="24"/>
          <w:szCs w:val="24"/>
          <w:highlight w:val="none"/>
        </w:rPr>
        <w:t xml:space="preserve">时00分（北京时间）</w:t>
      </w:r>
      <w:r/>
    </w:p>
    <w:p>
      <w:pPr>
        <w:ind w:firstLine="482"/>
        <w:keepLines w:val="0"/>
        <w:keepNext/>
        <w:pageBreakBefore w:val="0"/>
        <w:spacing w:line="360" w:lineRule="auto"/>
        <w:tabs>
          <w:tab w:val="left" w:pos="1021" w:leader="none"/>
        </w:tabs>
        <w:rPr>
          <w:rFonts w:hint="eastAsia" w:ascii="宋体" w:hAnsi="宋体" w:cs="宋体"/>
          <w:b/>
          <w:color w:val="auto"/>
          <w:sz w:val="24"/>
          <w:szCs w:val="24"/>
          <w:highlight w:val="none"/>
          <w:lang w:val="en-US" w:eastAsia="zh-CN"/>
        </w:rPr>
        <w:outlineLvl w:val="1"/>
      </w:pPr>
      <w:r>
        <w:rPr>
          <w:rFonts w:hint="eastAsia" w:ascii="宋体" w:hAnsi="宋体" w:cs="宋体"/>
          <w:b/>
          <w:color w:val="auto"/>
          <w:sz w:val="24"/>
          <w:szCs w:val="24"/>
          <w:highlight w:val="none"/>
          <w:lang w:val="en-US" w:eastAsia="zh-CN"/>
        </w:rPr>
        <w:t xml:space="preserve"> 地址：“苏采云”政府采购交易系统网上开标大厅。</w:t>
      </w:r>
      <w:r/>
    </w:p>
    <w:p>
      <w:pPr>
        <w:pStyle w:val="1016"/>
        <w:numPr>
          <w:ilvl w:val="0"/>
          <w:numId w:val="0"/>
        </w:numPr>
        <w:keepLines w:val="0"/>
        <w:pageBreakBefore w:val="0"/>
        <w:spacing w:line="360" w:lineRule="auto"/>
        <w:rPr>
          <w:rFonts w:hint="eastAsia"/>
          <w:color w:val="auto"/>
          <w:highlight w:val="none"/>
        </w:rPr>
      </w:pPr>
      <w:r>
        <w:rPr>
          <w:rFonts w:hint="eastAsia"/>
          <w:color w:val="auto"/>
          <w:highlight w:val="none"/>
        </w:rPr>
        <w:t xml:space="preserve">五、公告期限</w:t>
      </w:r>
      <w:r/>
    </w:p>
    <w:p>
      <w:pPr>
        <w:ind w:firstLine="480"/>
        <w:jc w:val="left"/>
        <w:keepLines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自本公告发布之日起5个工作日。</w:t>
      </w:r>
      <w:r/>
    </w:p>
    <w:p>
      <w:pPr>
        <w:pStyle w:val="1016"/>
        <w:numPr>
          <w:ilvl w:val="0"/>
          <w:numId w:val="0"/>
        </w:numPr>
        <w:keepLines w:val="0"/>
        <w:pageBreakBefore w:val="0"/>
        <w:spacing w:line="360" w:lineRule="auto"/>
        <w:rPr>
          <w:rFonts w:hint="eastAsia"/>
          <w:color w:val="auto"/>
          <w:highlight w:val="none"/>
        </w:rPr>
      </w:pPr>
      <w:r>
        <w:rPr>
          <w:rFonts w:hint="eastAsia"/>
          <w:color w:val="auto"/>
          <w:highlight w:val="none"/>
        </w:rPr>
        <w:t xml:space="preserve">六、其他补充事宜</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1.本次招标不收取投标保证金。</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2.本招标文件中斜体且有下划线部分为实质性要求和条件，由采购人根据实际情况设置，投标人须逐条明确作出满足实质性要求和条件的响应，否则将按无效响应处理。</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http://www.ccgp-jiangsu.gov.cn/jiangsu/zlxz/ee/ee3a4bc5a3454aa2b0d9312230633ce9.html</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请投标人按照《操作手册》要求获取招标文件，制作、递交（上传）电子投标文件，参加开标，澄清、说明或者补正。因投标人未按要求操作原因导致电子投标文件被拒绝、造成无效响应的，</w:t>
      </w:r>
      <w:r>
        <w:rPr>
          <w:rFonts w:hint="eastAsia" w:ascii="Calibri" w:hAnsi="Calibri" w:eastAsia="宋体" w:cs="Times New Roman"/>
          <w:color w:val="auto"/>
          <w:sz w:val="24"/>
          <w:szCs w:val="24"/>
          <w:highlight w:val="none"/>
        </w:rPr>
        <w:t xml:space="preserve">自行承担一切损失。</w:t>
      </w:r>
      <w:r/>
    </w:p>
    <w:p>
      <w:pPr>
        <w:pStyle w:val="1016"/>
        <w:numPr>
          <w:ilvl w:val="0"/>
          <w:numId w:val="0"/>
        </w:numPr>
        <w:keepLines w:val="0"/>
        <w:pageBreakBefore w:val="0"/>
        <w:spacing w:line="360" w:lineRule="auto"/>
        <w:rPr>
          <w:color w:val="auto"/>
          <w:highlight w:val="none"/>
        </w:rPr>
      </w:pPr>
      <w:r>
        <w:rPr>
          <w:rFonts w:hint="eastAsia"/>
          <w:color w:val="auto"/>
          <w:highlight w:val="none"/>
        </w:rPr>
        <w:t xml:space="preserve">七、对本次招标提出询问，请按以下方式联系。</w:t>
      </w:r>
      <w:r/>
    </w:p>
    <w:p>
      <w:pPr>
        <w:contextualSpacing/>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1.采购人信息</w:t>
      </w:r>
      <w:r/>
    </w:p>
    <w:p>
      <w:pPr>
        <w:contextualSpacing/>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名    称：</w:t>
      </w:r>
      <w:r>
        <w:rPr>
          <w:rFonts w:hint="eastAsia" w:ascii="宋体" w:hAnsi="宋体" w:cs="宋体"/>
          <w:color w:val="auto"/>
          <w:sz w:val="24"/>
          <w:szCs w:val="24"/>
          <w:highlight w:val="none"/>
          <w:lang w:eastAsia="zh-CN"/>
        </w:rPr>
        <w:t xml:space="preserve">连云港市海州湾小学</w:t>
      </w:r>
      <w:r/>
    </w:p>
    <w:p>
      <w:pPr>
        <w:contextualSpacing/>
        <w:ind w:firstLine="480"/>
        <w:jc w:val="left"/>
        <w:keepLines w:val="0"/>
        <w:keepNext w:val="0"/>
        <w:pageBreakBefore w:val="0"/>
        <w:spacing w:line="360" w:lineRule="auto"/>
        <w:widowControl/>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地    址：连云港市连云区中云街道瀚海路60号</w:t>
      </w:r>
      <w:r/>
    </w:p>
    <w:p>
      <w:pPr>
        <w:contextualSpacing/>
        <w:ind w:firstLine="480"/>
        <w:jc w:val="left"/>
        <w:keepLines w:val="0"/>
        <w:keepNext w:val="0"/>
        <w:pageBreakBefore w:val="0"/>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联系方式：</w:t>
      </w:r>
      <w:r>
        <w:rPr>
          <w:rFonts w:hint="eastAsia" w:ascii="宋体" w:hAnsi="宋体" w:eastAsia="宋体" w:cs="宋体"/>
          <w:color w:val="auto"/>
          <w:sz w:val="24"/>
          <w:szCs w:val="24"/>
          <w:highlight w:val="none"/>
          <w:lang w:val="en-US" w:eastAsia="zh-CN"/>
        </w:rPr>
        <w:t xml:space="preserve">13912154587</w:t>
      </w:r>
      <w:r/>
    </w:p>
    <w:p>
      <w:pPr>
        <w:contextualSpacing/>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contextualSpacing/>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lang w:val="en-US" w:eastAsia="zh-CN"/>
        </w:rPr>
        <w:t xml:space="preserve">：连云港上和工程咨询有限公司</w:t>
      </w:r>
      <w:r/>
    </w:p>
    <w:p>
      <w:pPr>
        <w:contextualSpacing/>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地址：江苏省连云港市连云区连云新城广州路88号国际商务中心5楼</w:t>
      </w:r>
      <w:r/>
    </w:p>
    <w:p>
      <w:pPr>
        <w:contextualSpacing/>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联系人：张工</w:t>
      </w:r>
      <w:r/>
    </w:p>
    <w:p>
      <w:pPr>
        <w:contextualSpacing/>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电话：0518-85588595</w:t>
      </w:r>
      <w:r/>
    </w:p>
    <w:p>
      <w:pPr>
        <w:contextualSpacing/>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contextualSpacing/>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3.项目联系方式</w:t>
      </w:r>
      <w:r/>
    </w:p>
    <w:p>
      <w:pPr>
        <w:contextualSpacing/>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项目联系人：</w:t>
      </w:r>
      <w:r>
        <w:rPr>
          <w:rFonts w:hint="eastAsia" w:ascii="宋体" w:hAnsi="宋体" w:eastAsia="宋体" w:cs="宋体"/>
          <w:color w:val="auto"/>
          <w:sz w:val="24"/>
          <w:szCs w:val="24"/>
          <w:highlight w:val="none"/>
          <w:lang w:val="en-US" w:eastAsia="zh-CN"/>
        </w:rPr>
        <w:t xml:space="preserve">刘老师</w:t>
      </w:r>
      <w:r/>
    </w:p>
    <w:p>
      <w:pPr>
        <w:contextualSpacing/>
        <w:ind w:firstLine="480"/>
        <w:jc w:val="left"/>
        <w:keepLines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eastAsia="zh-CN"/>
        </w:rPr>
        <w:t xml:space="preserve">电      话：</w:t>
      </w:r>
      <w:r>
        <w:rPr>
          <w:rFonts w:hint="eastAsia" w:ascii="宋体" w:hAnsi="宋体" w:eastAsia="宋体" w:cs="宋体"/>
          <w:color w:val="auto"/>
          <w:sz w:val="24"/>
          <w:highlight w:val="none"/>
          <w:lang w:val="en-US" w:eastAsia="zh-CN"/>
        </w:rPr>
        <w:t xml:space="preserve">13912154587</w:t>
      </w:r>
      <w:r/>
    </w:p>
    <w:p>
      <w:pPr>
        <w:ind w:firstLine="482"/>
        <w:jc w:val="right"/>
        <w:keepLines w:val="0"/>
        <w:pageBreakBefore w:val="0"/>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r>
      <w:r/>
    </w:p>
    <w:p>
      <w:pPr>
        <w:ind w:firstLine="482"/>
        <w:jc w:val="right"/>
        <w:keepLines w:val="0"/>
        <w:pageBreakBefore w:val="0"/>
        <w:spacing w:line="360" w:lineRule="auto"/>
        <w:rPr>
          <w:rFonts w:ascii="宋体" w:hAnsi="宋体" w:cs="宋体"/>
          <w:b/>
          <w:bCs/>
          <w:color w:val="auto"/>
          <w:highlight w:val="none"/>
        </w:rPr>
      </w:pPr>
      <w:r>
        <w:rPr>
          <w:rFonts w:hint="eastAsia" w:ascii="宋体" w:hAnsi="宋体" w:cs="宋体"/>
          <w:b/>
          <w:bCs/>
          <w:color w:val="auto"/>
          <w:sz w:val="24"/>
          <w:highlight w:val="none"/>
          <w:lang w:val="en-US" w:eastAsia="zh-CN"/>
        </w:rPr>
        <w:t xml:space="preserve">2025</w:t>
      </w:r>
      <w:r>
        <w:rPr>
          <w:rFonts w:hint="eastAsia" w:ascii="宋体" w:hAnsi="宋体" w:cs="宋体"/>
          <w:b/>
          <w:bCs/>
          <w:color w:val="auto"/>
          <w:sz w:val="24"/>
          <w:highlight w:val="none"/>
        </w:rPr>
        <w:t xml:space="preserve">年</w:t>
      </w:r>
      <w:r>
        <w:rPr>
          <w:rFonts w:hint="eastAsia" w:ascii="宋体" w:hAnsi="宋体" w:cs="宋体"/>
          <w:b/>
          <w:bCs/>
          <w:color w:val="auto"/>
          <w:sz w:val="24"/>
          <w:highlight w:val="none"/>
          <w:lang w:val="en-US" w:eastAsia="zh-CN"/>
        </w:rPr>
        <w:t xml:space="preserve">8</w:t>
      </w:r>
      <w:r>
        <w:rPr>
          <w:rFonts w:hint="eastAsia" w:ascii="宋体" w:hAnsi="宋体" w:cs="宋体"/>
          <w:b/>
          <w:bCs/>
          <w:color w:val="auto"/>
          <w:sz w:val="24"/>
          <w:highlight w:val="none"/>
        </w:rPr>
        <w:t xml:space="preserve">月</w:t>
      </w:r>
      <w:r>
        <w:rPr>
          <w:rFonts w:hint="eastAsia" w:ascii="宋体" w:hAnsi="宋体" w:cs="宋体"/>
          <w:b/>
          <w:bCs/>
          <w:color w:val="auto"/>
          <w:sz w:val="24"/>
          <w:highlight w:val="none"/>
          <w:lang w:val="en-US" w:eastAsia="zh-CN"/>
        </w:rPr>
        <w:t xml:space="preserve">11</w:t>
      </w:r>
      <w:r>
        <w:rPr>
          <w:rFonts w:hint="eastAsia" w:ascii="宋体" w:hAnsi="宋体" w:cs="宋体"/>
          <w:b/>
          <w:bCs/>
          <w:color w:val="auto"/>
          <w:sz w:val="24"/>
          <w:highlight w:val="none"/>
        </w:rPr>
        <w:t xml:space="preserve">日</w:t>
      </w:r>
      <w:r/>
    </w:p>
    <w:p>
      <w:pPr>
        <w:pStyle w:val="1015"/>
        <w:numPr>
          <w:ilvl w:val="0"/>
          <w:numId w:val="2"/>
        </w:numPr>
        <w:rPr>
          <w:rFonts w:hint="eastAsia" w:hAnsi="宋体"/>
          <w:b w:val="0"/>
          <w:color w:val="auto"/>
          <w:highlight w:val="none"/>
        </w:rPr>
      </w:pPr>
      <w:r>
        <w:rPr>
          <w:color w:val="auto"/>
          <w:highlight w:val="none"/>
        </w:rPr>
        <w:br w:type="page" w:clear="all"/>
      </w:r>
      <w:bookmarkStart w:id="7" w:name="_Toc513622227"/>
      <w:r>
        <w:rPr>
          <w:rFonts w:hint="eastAsia" w:hAnsi="宋体"/>
          <w:b w:val="0"/>
          <w:color w:val="auto"/>
          <w:highlight w:val="none"/>
        </w:rPr>
        <w:t xml:space="preserve"> </w:t>
      </w:r>
      <w:bookmarkStart w:id="8" w:name="_Toc17778"/>
      <w:r>
        <w:rPr>
          <w:rFonts w:hint="eastAsia" w:hAnsi="宋体"/>
          <w:b w:val="0"/>
          <w:color w:val="auto"/>
          <w:highlight w:val="none"/>
        </w:rPr>
        <w:t xml:space="preserve">投标人须知</w:t>
      </w:r>
      <w:bookmarkEnd w:id="4"/>
      <w:r/>
      <w:bookmarkEnd w:id="5"/>
      <w:r/>
      <w:bookmarkEnd w:id="7"/>
      <w:r/>
      <w:bookmarkEnd w:id="8"/>
      <w:r/>
      <w:r/>
    </w:p>
    <w:p>
      <w:pPr>
        <w:pStyle w:val="1016"/>
        <w:numPr>
          <w:ilvl w:val="0"/>
          <w:numId w:val="0"/>
        </w:numPr>
        <w:ind w:left="425"/>
        <w:keepLines w:val="0"/>
        <w:pageBreakBefore w:val="0"/>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一、总则</w:t>
      </w:r>
      <w:r/>
    </w:p>
    <w:p>
      <w:pPr>
        <w:pStyle w:val="1017"/>
        <w:numPr>
          <w:ilvl w:val="0"/>
          <w:numId w:val="0"/>
        </w:numPr>
        <w:jc w:val="left"/>
        <w:keepLines w:val="0"/>
        <w:pageBreakBefore w:val="0"/>
        <w:spacing w:before="0" w:after="0" w:line="360" w:lineRule="auto"/>
        <w:rPr>
          <w:color w:val="auto"/>
          <w:sz w:val="28"/>
          <w:szCs w:val="28"/>
          <w:highlight w:val="none"/>
        </w:rPr>
      </w:pPr>
      <w:r>
        <w:rPr>
          <w:rFonts w:hint="eastAsia"/>
          <w:color w:val="auto"/>
          <w:sz w:val="28"/>
          <w:szCs w:val="28"/>
          <w:highlight w:val="none"/>
        </w:rPr>
        <w:t xml:space="preserve">1、采购方式</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1.1 本次招标采取公开招标方式，本招标文件仅适用于招标公告中所述项目。</w:t>
      </w:r>
      <w:r/>
    </w:p>
    <w:p>
      <w:pPr>
        <w:pStyle w:val="1017"/>
        <w:numPr>
          <w:ilvl w:val="0"/>
          <w:numId w:val="0"/>
        </w:numPr>
        <w:jc w:val="left"/>
        <w:keepLines w:val="0"/>
        <w:pageBreakBefore w:val="0"/>
        <w:spacing w:before="0" w:after="0" w:line="360" w:lineRule="auto"/>
        <w:rPr>
          <w:color w:val="auto"/>
          <w:sz w:val="28"/>
          <w:szCs w:val="28"/>
          <w:highlight w:val="none"/>
        </w:rPr>
      </w:pPr>
      <w:r>
        <w:rPr>
          <w:rFonts w:hint="eastAsia"/>
          <w:color w:val="auto"/>
          <w:sz w:val="28"/>
          <w:szCs w:val="28"/>
          <w:highlight w:val="none"/>
        </w:rPr>
        <w:t xml:space="preserve">2、合格的投标人</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2.1 满足招标公告中申请人的资格要求的规定。</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2.3 满足本招标文件全部实质性要求和条件的规定。</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2.4 符合上述条件的投标人应承担投标及履约过程应承担的全部责任与义务。</w:t>
      </w:r>
      <w:r/>
    </w:p>
    <w:p>
      <w:pPr>
        <w:pStyle w:val="1017"/>
        <w:numPr>
          <w:ilvl w:val="0"/>
          <w:numId w:val="0"/>
        </w:numPr>
        <w:jc w:val="left"/>
        <w:keepLines w:val="0"/>
        <w:pageBreakBefore w:val="0"/>
        <w:spacing w:before="0" w:after="0" w:line="360" w:lineRule="auto"/>
        <w:rPr>
          <w:color w:val="auto"/>
          <w:sz w:val="28"/>
          <w:szCs w:val="28"/>
          <w:highlight w:val="none"/>
        </w:rPr>
      </w:pPr>
      <w:r>
        <w:rPr>
          <w:rFonts w:hint="eastAsia"/>
          <w:color w:val="auto"/>
          <w:sz w:val="28"/>
          <w:szCs w:val="28"/>
          <w:highlight w:val="none"/>
        </w:rPr>
        <w:t xml:space="preserve">3、适用法律</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3.1 本次招标及由此产生的合同受中华人民共和国有关的法律法规制约和保护。</w:t>
      </w:r>
      <w:r/>
    </w:p>
    <w:p>
      <w:pPr>
        <w:pStyle w:val="1017"/>
        <w:numPr>
          <w:ilvl w:val="0"/>
          <w:numId w:val="0"/>
        </w:numPr>
        <w:jc w:val="left"/>
        <w:keepLines w:val="0"/>
        <w:pageBreakBefore w:val="0"/>
        <w:spacing w:before="0" w:after="0" w:line="360" w:lineRule="auto"/>
        <w:rPr>
          <w:color w:val="auto"/>
          <w:sz w:val="28"/>
          <w:szCs w:val="28"/>
          <w:highlight w:val="none"/>
        </w:rPr>
      </w:pPr>
      <w:r>
        <w:rPr>
          <w:rFonts w:hint="eastAsia"/>
          <w:color w:val="auto"/>
          <w:sz w:val="28"/>
          <w:szCs w:val="28"/>
          <w:highlight w:val="none"/>
        </w:rPr>
        <w:t xml:space="preserve">4、投标费用</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4.1 投标人应自行承担所有与参与投标有关的费用，无论投标过程中的做法和结果如何，采购人和</w:t>
      </w:r>
      <w:r>
        <w:rPr>
          <w:rFonts w:hint="eastAsia"/>
          <w:color w:val="auto"/>
          <w:sz w:val="24"/>
          <w:szCs w:val="24"/>
          <w:highlight w:val="none"/>
          <w:lang w:eastAsia="zh-CN"/>
        </w:rPr>
        <w:t xml:space="preserve">连云港上和工程咨询有限公司</w:t>
      </w:r>
      <w:r>
        <w:rPr>
          <w:rFonts w:hint="eastAsia"/>
          <w:color w:val="auto"/>
          <w:sz w:val="24"/>
          <w:szCs w:val="24"/>
          <w:highlight w:val="none"/>
        </w:rPr>
        <w:t xml:space="preserve">（以下简称</w:t>
      </w:r>
      <w:r>
        <w:rPr>
          <w:rFonts w:hint="eastAsia"/>
          <w:color w:val="auto"/>
          <w:sz w:val="24"/>
          <w:szCs w:val="24"/>
          <w:highlight w:val="none"/>
          <w:lang w:eastAsia="zh-CN"/>
        </w:rPr>
        <w:t xml:space="preserve">采购代理机构</w:t>
      </w:r>
      <w:r>
        <w:rPr>
          <w:rFonts w:hint="eastAsia"/>
          <w:color w:val="auto"/>
          <w:sz w:val="24"/>
          <w:szCs w:val="24"/>
          <w:highlight w:val="none"/>
        </w:rPr>
        <w:t xml:space="preserve">）在任何情况下均无义务和责任承担这些费用。</w:t>
      </w:r>
      <w:r/>
    </w:p>
    <w:p>
      <w:pPr>
        <w:ind w:firstLine="480"/>
        <w:keepLines w:val="0"/>
        <w:pageBreakBefore w:val="0"/>
        <w:spacing w:line="360" w:lineRule="auto"/>
        <w:rPr>
          <w:rFonts w:hint="eastAsia"/>
          <w:b/>
          <w:bCs/>
          <w:color w:val="auto"/>
          <w:sz w:val="24"/>
          <w:highlight w:val="none"/>
        </w:rPr>
      </w:pPr>
      <w:r>
        <w:rPr>
          <w:rFonts w:hint="eastAsia"/>
          <w:color w:val="auto"/>
          <w:sz w:val="24"/>
          <w:szCs w:val="24"/>
          <w:highlight w:val="none"/>
        </w:rPr>
        <w:t xml:space="preserve">4.2 </w:t>
      </w:r>
      <w:r>
        <w:rPr>
          <w:rFonts w:ascii="Times New Roman" w:hAnsi="Times New Roman" w:eastAsia="宋体" w:cs="Times New Roman"/>
          <w:b/>
          <w:bCs/>
          <w:color w:val="auto"/>
          <w:sz w:val="24"/>
          <w:highlight w:val="none"/>
        </w:rPr>
        <w:t xml:space="preserve">招标代理费</w:t>
      </w:r>
      <w:r>
        <w:rPr>
          <w:rFonts w:hint="eastAsia" w:ascii="Times New Roman" w:hAnsi="Times New Roman" w:eastAsia="宋体" w:cs="Times New Roman"/>
          <w:b/>
          <w:bCs/>
          <w:color w:val="auto"/>
          <w:sz w:val="24"/>
          <w:highlight w:val="none"/>
          <w:lang w:val="en-US" w:eastAsia="zh-CN"/>
        </w:rPr>
        <w:t xml:space="preserve">5500元</w:t>
      </w:r>
      <w:r>
        <w:rPr>
          <w:rFonts w:hint="eastAsia" w:ascii="Times New Roman" w:hAnsi="Times New Roman" w:eastAsia="宋体" w:cs="Times New Roman"/>
          <w:b/>
          <w:bCs/>
          <w:color w:val="auto"/>
          <w:sz w:val="24"/>
          <w:highlight w:val="none"/>
        </w:rPr>
        <w:t xml:space="preserve">中标人</w:t>
      </w:r>
      <w:r>
        <w:rPr>
          <w:rFonts w:hint="eastAsia" w:ascii="Times New Roman" w:hAnsi="Times New Roman" w:eastAsia="宋体" w:cs="Times New Roman"/>
          <w:b/>
          <w:bCs/>
          <w:color w:val="auto"/>
          <w:sz w:val="24"/>
          <w:highlight w:val="none"/>
        </w:rPr>
        <w:t xml:space="preserve">领取中标通知书时须缴纳，供应商将此费用等综合考虑在报价中</w:t>
      </w:r>
      <w:r>
        <w:rPr>
          <w:rFonts w:hint="eastAsia" w:ascii="Times New Roman" w:hAnsi="Times New Roman" w:eastAsia="宋体" w:cs="Times New Roman"/>
          <w:b/>
          <w:bCs/>
          <w:color w:val="auto"/>
          <w:sz w:val="24"/>
          <w:highlight w:val="none"/>
          <w:lang w:eastAsia="zh-CN"/>
        </w:rPr>
        <w:t xml:space="preserve">，招标人不再另行支付</w:t>
      </w:r>
      <w:r>
        <w:rPr>
          <w:rFonts w:hint="eastAsia"/>
          <w:b/>
          <w:bCs/>
          <w:color w:val="auto"/>
          <w:sz w:val="24"/>
          <w:highlight w:val="none"/>
        </w:rPr>
        <w:t xml:space="preserve">。</w:t>
      </w:r>
      <w:r/>
    </w:p>
    <w:p>
      <w:pPr>
        <w:pStyle w:val="1017"/>
        <w:numPr>
          <w:ilvl w:val="0"/>
          <w:numId w:val="0"/>
        </w:numPr>
        <w:jc w:val="left"/>
        <w:keepLines w:val="0"/>
        <w:pageBreakBefore w:val="0"/>
        <w:spacing w:before="0" w:after="0" w:line="360" w:lineRule="auto"/>
        <w:rPr>
          <w:color w:val="auto"/>
          <w:sz w:val="28"/>
          <w:szCs w:val="28"/>
          <w:highlight w:val="none"/>
        </w:rPr>
      </w:pPr>
      <w:r>
        <w:rPr>
          <w:rFonts w:hint="eastAsia"/>
          <w:color w:val="auto"/>
          <w:sz w:val="28"/>
          <w:szCs w:val="28"/>
          <w:highlight w:val="none"/>
        </w:rPr>
        <w:t xml:space="preserve">5、招标文件的约束力</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5.1 投标人一旦参与本项目采购活动，即被认为接受了本招标文件的规定和约束。</w:t>
      </w:r>
      <w:r/>
    </w:p>
    <w:p>
      <w:pPr>
        <w:pStyle w:val="1016"/>
        <w:numPr>
          <w:ilvl w:val="0"/>
          <w:numId w:val="0"/>
        </w:numPr>
        <w:ind w:left="425"/>
        <w:keepLines w:val="0"/>
        <w:pageBreakBefore w:val="0"/>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二、招标文件</w:t>
      </w:r>
      <w:r/>
    </w:p>
    <w:p>
      <w:pPr>
        <w:pStyle w:val="1017"/>
        <w:numPr>
          <w:ilvl w:val="0"/>
          <w:numId w:val="0"/>
        </w:numPr>
        <w:jc w:val="left"/>
        <w:keepLines w:val="0"/>
        <w:pageBreakBefore w:val="0"/>
        <w:spacing w:before="0" w:after="0" w:line="360" w:lineRule="auto"/>
        <w:rPr>
          <w:color w:val="auto"/>
          <w:sz w:val="28"/>
          <w:szCs w:val="28"/>
          <w:highlight w:val="none"/>
        </w:rPr>
      </w:pPr>
      <w:r>
        <w:rPr>
          <w:rFonts w:hint="eastAsia"/>
          <w:color w:val="auto"/>
          <w:sz w:val="28"/>
          <w:szCs w:val="28"/>
          <w:highlight w:val="none"/>
        </w:rPr>
        <w:t xml:space="preserve">6、招标文件的构成</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6.1 招标文件由以下部分构成：</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（1）投标邀请</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（2）投标人须知</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（3）合同文本</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（4）采购需求</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（5）评标方法与评标标准</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（6）投标文件格式</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请仔细检查招标文件是否齐全，如有缺漏请立即与</w:t>
      </w:r>
      <w:r>
        <w:rPr>
          <w:rFonts w:hint="eastAsia"/>
          <w:color w:val="auto"/>
          <w:sz w:val="24"/>
          <w:szCs w:val="24"/>
          <w:highlight w:val="none"/>
          <w:lang w:eastAsia="zh-CN"/>
        </w:rPr>
        <w:t xml:space="preserve">采购代理机构</w:t>
      </w:r>
      <w:r>
        <w:rPr>
          <w:rFonts w:hint="eastAsia"/>
          <w:color w:val="auto"/>
          <w:sz w:val="24"/>
          <w:szCs w:val="24"/>
          <w:highlight w:val="none"/>
        </w:rPr>
        <w:t xml:space="preserve">联系解决。</w:t>
      </w:r>
      <w:r/>
    </w:p>
    <w:p>
      <w:pPr>
        <w:pStyle w:val="1017"/>
        <w:numPr>
          <w:ilvl w:val="0"/>
          <w:numId w:val="0"/>
        </w:numPr>
        <w:jc w:val="left"/>
        <w:keepLines w:val="0"/>
        <w:pageBreakBefore w:val="0"/>
        <w:spacing w:before="0" w:after="0" w:line="360" w:lineRule="auto"/>
        <w:rPr>
          <w:color w:val="auto"/>
          <w:sz w:val="28"/>
          <w:szCs w:val="28"/>
          <w:highlight w:val="none"/>
        </w:rPr>
      </w:pPr>
      <w:r>
        <w:rPr>
          <w:rFonts w:hint="eastAsia"/>
          <w:color w:val="auto"/>
          <w:sz w:val="28"/>
          <w:szCs w:val="28"/>
          <w:highlight w:val="none"/>
        </w:rPr>
        <w:t xml:space="preserve">7、招标文件的澄清</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7.1 任何要求对招标文件进行澄清的投标人，应在投标截止时间十日前按招标公告中的通讯地址，以书面形式通知采购人或者</w:t>
      </w:r>
      <w:r>
        <w:rPr>
          <w:rFonts w:hint="eastAsia"/>
          <w:color w:val="auto"/>
          <w:sz w:val="24"/>
          <w:szCs w:val="24"/>
          <w:highlight w:val="none"/>
          <w:lang w:eastAsia="zh-CN"/>
        </w:rPr>
        <w:t xml:space="preserve">采购代理机构</w:t>
      </w:r>
      <w:r>
        <w:rPr>
          <w:rFonts w:hint="eastAsia"/>
          <w:color w:val="auto"/>
          <w:sz w:val="24"/>
          <w:szCs w:val="24"/>
          <w:highlight w:val="none"/>
        </w:rPr>
        <w:t xml:space="preserve">。</w:t>
      </w:r>
      <w:r/>
    </w:p>
    <w:p>
      <w:pPr>
        <w:pStyle w:val="1017"/>
        <w:numPr>
          <w:ilvl w:val="0"/>
          <w:numId w:val="0"/>
        </w:numPr>
        <w:jc w:val="left"/>
        <w:keepLines w:val="0"/>
        <w:pageBreakBefore w:val="0"/>
        <w:spacing w:before="0" w:after="0" w:line="360" w:lineRule="auto"/>
        <w:rPr>
          <w:color w:val="auto"/>
          <w:sz w:val="28"/>
          <w:szCs w:val="28"/>
          <w:highlight w:val="none"/>
        </w:rPr>
      </w:pPr>
      <w:r>
        <w:rPr>
          <w:rFonts w:hint="eastAsia"/>
          <w:color w:val="auto"/>
          <w:sz w:val="28"/>
          <w:szCs w:val="28"/>
          <w:highlight w:val="none"/>
        </w:rPr>
        <w:t xml:space="preserve">8、招标文件的修改</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8.1 在投标截止时间前，采购人和</w:t>
      </w:r>
      <w:r>
        <w:rPr>
          <w:rFonts w:hint="eastAsia"/>
          <w:color w:val="auto"/>
          <w:sz w:val="24"/>
          <w:szCs w:val="24"/>
          <w:highlight w:val="none"/>
          <w:lang w:eastAsia="zh-CN"/>
        </w:rPr>
        <w:t xml:space="preserve">采购代理机构</w:t>
      </w:r>
      <w:r>
        <w:rPr>
          <w:rFonts w:hint="eastAsia"/>
          <w:color w:val="auto"/>
          <w:sz w:val="24"/>
          <w:szCs w:val="24"/>
          <w:highlight w:val="none"/>
        </w:rPr>
        <w:t xml:space="preserve">可以对招标文件进行修改。</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8.2 采购人和</w:t>
      </w:r>
      <w:r>
        <w:rPr>
          <w:rFonts w:hint="eastAsia"/>
          <w:color w:val="auto"/>
          <w:sz w:val="24"/>
          <w:szCs w:val="24"/>
          <w:highlight w:val="none"/>
          <w:lang w:eastAsia="zh-CN"/>
        </w:rPr>
        <w:t xml:space="preserve">采购代理机构</w:t>
      </w:r>
      <w:r>
        <w:rPr>
          <w:rFonts w:hint="eastAsia"/>
          <w:color w:val="auto"/>
          <w:sz w:val="24"/>
          <w:szCs w:val="24"/>
          <w:highlight w:val="none"/>
        </w:rPr>
        <w:t xml:space="preserve">有权按照法定的要求推迟投标截止时间和开标时间。</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8.3 招标文件的修改将在江苏政府采购网公布，补充文件将作为招标文件的组成部分，并对投标人具有约束力。</w:t>
      </w:r>
      <w:r/>
    </w:p>
    <w:p>
      <w:pPr>
        <w:pStyle w:val="1016"/>
        <w:numPr>
          <w:ilvl w:val="0"/>
          <w:numId w:val="0"/>
        </w:numPr>
        <w:ind w:left="425"/>
        <w:keepLines w:val="0"/>
        <w:pageBreakBefore w:val="0"/>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三、投标文件编制</w:t>
      </w:r>
      <w:r/>
    </w:p>
    <w:p>
      <w:pPr>
        <w:pStyle w:val="1017"/>
        <w:numPr>
          <w:ilvl w:val="0"/>
          <w:numId w:val="0"/>
        </w:numPr>
        <w:jc w:val="left"/>
        <w:keepLines w:val="0"/>
        <w:pageBreakBefore w:val="0"/>
        <w:spacing w:before="0" w:after="0" w:line="360" w:lineRule="auto"/>
        <w:rPr>
          <w:color w:val="auto"/>
          <w:sz w:val="28"/>
          <w:szCs w:val="28"/>
          <w:highlight w:val="none"/>
        </w:rPr>
      </w:pPr>
      <w:r>
        <w:rPr>
          <w:rFonts w:hint="eastAsia"/>
          <w:color w:val="auto"/>
          <w:sz w:val="28"/>
          <w:szCs w:val="28"/>
          <w:highlight w:val="none"/>
        </w:rPr>
        <w:t xml:space="preserve">9、投标文件编写注意事项</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1017"/>
        <w:numPr>
          <w:ilvl w:val="0"/>
          <w:numId w:val="0"/>
        </w:numPr>
        <w:jc w:val="left"/>
        <w:keepLines w:val="0"/>
        <w:pageBreakBefore w:val="0"/>
        <w:spacing w:before="0" w:after="0" w:line="360" w:lineRule="auto"/>
        <w:rPr>
          <w:color w:val="auto"/>
          <w:sz w:val="28"/>
          <w:szCs w:val="28"/>
          <w:highlight w:val="none"/>
        </w:rPr>
      </w:pPr>
      <w:r>
        <w:rPr>
          <w:rFonts w:hint="eastAsia"/>
          <w:color w:val="auto"/>
          <w:sz w:val="28"/>
          <w:szCs w:val="28"/>
          <w:highlight w:val="none"/>
        </w:rPr>
        <w:t xml:space="preserve">10、投标文件的语言及度量衡单位</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10.1 除专用术语外，投标人提交的投标文件以及投标人与采购人和</w:t>
      </w:r>
      <w:r>
        <w:rPr>
          <w:rFonts w:hint="eastAsia"/>
          <w:color w:val="auto"/>
          <w:sz w:val="24"/>
          <w:szCs w:val="24"/>
          <w:highlight w:val="none"/>
          <w:lang w:eastAsia="zh-CN"/>
        </w:rPr>
        <w:t xml:space="preserve">采购代理机构</w:t>
      </w:r>
      <w:r>
        <w:rPr>
          <w:rFonts w:hint="eastAsia"/>
          <w:color w:val="auto"/>
          <w:sz w:val="24"/>
          <w:szCs w:val="24"/>
          <w:highlight w:val="none"/>
        </w:rPr>
        <w:t xml:space="preserve">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10.2 除技术性能另有规定外，投标文件所使用的度量衡单位，均须采用国家法定计量单位。</w:t>
      </w:r>
      <w:r/>
    </w:p>
    <w:p>
      <w:pPr>
        <w:pStyle w:val="1017"/>
        <w:numPr>
          <w:ilvl w:val="0"/>
          <w:numId w:val="0"/>
        </w:numPr>
        <w:jc w:val="left"/>
        <w:keepLines w:val="0"/>
        <w:pageBreakBefore w:val="0"/>
        <w:spacing w:before="0" w:after="0" w:line="360" w:lineRule="auto"/>
        <w:rPr>
          <w:color w:val="auto"/>
          <w:sz w:val="28"/>
          <w:szCs w:val="28"/>
          <w:highlight w:val="none"/>
        </w:rPr>
      </w:pPr>
      <w:r>
        <w:rPr>
          <w:rFonts w:hint="eastAsia"/>
          <w:color w:val="auto"/>
          <w:sz w:val="28"/>
          <w:szCs w:val="28"/>
          <w:highlight w:val="none"/>
        </w:rPr>
        <w:t xml:space="preserve">11、投标文件的构成</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11.2 如投标文件制作工具中格式和内容与江苏政府采购网发布的招标文件不一致，请以江苏政府采购网发布的招标文件为准。</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11.3 特别提醒投标人，混乱的编排导致投标文件被误读或评标委员会（以下简称评委会）查找不到有效文件是投标人的风险。</w:t>
      </w:r>
      <w:r/>
    </w:p>
    <w:p>
      <w:pPr>
        <w:pStyle w:val="1017"/>
        <w:numPr>
          <w:ilvl w:val="0"/>
          <w:numId w:val="0"/>
        </w:numPr>
        <w:jc w:val="left"/>
        <w:keepLines w:val="0"/>
        <w:pageBreakBefore w:val="0"/>
        <w:spacing w:before="0" w:after="0" w:line="360" w:lineRule="auto"/>
        <w:rPr>
          <w:color w:val="auto"/>
          <w:sz w:val="28"/>
          <w:szCs w:val="28"/>
          <w:highlight w:val="none"/>
        </w:rPr>
      </w:pPr>
      <w:r>
        <w:rPr>
          <w:rFonts w:hint="eastAsia"/>
          <w:color w:val="auto"/>
          <w:sz w:val="28"/>
          <w:szCs w:val="28"/>
          <w:highlight w:val="none"/>
        </w:rPr>
        <w:t xml:space="preserve">12、证明投标人及投标标的符合招标文件规定的文件</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12.1 投标人应按照招标文件要求提交证明文件，证明其及投标标的符合招标文件规定。</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12.2 招标文件对证明文件无明确形式要求的，证明文件可以以文字资料、图纸和数据等形式提交。</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12.3 投标人委托代理时应当提交授权委托书，请按招标文件第六章给定格式及要求填写并附法定代表人（单位负责人）与委托代理人身份证明。</w:t>
      </w:r>
      <w:r/>
    </w:p>
    <w:p>
      <w:pPr>
        <w:pStyle w:val="1017"/>
        <w:numPr>
          <w:ilvl w:val="0"/>
          <w:numId w:val="0"/>
        </w:numPr>
        <w:jc w:val="left"/>
        <w:keepLines w:val="0"/>
        <w:pageBreakBefore w:val="0"/>
        <w:spacing w:before="0" w:after="0" w:line="360" w:lineRule="auto"/>
        <w:rPr>
          <w:color w:val="auto"/>
          <w:highlight w:val="none"/>
        </w:rPr>
      </w:pPr>
      <w:r>
        <w:rPr>
          <w:rFonts w:hint="eastAsia"/>
          <w:color w:val="auto"/>
          <w:sz w:val="28"/>
          <w:szCs w:val="28"/>
          <w:highlight w:val="none"/>
        </w:rPr>
        <w:t xml:space="preserve">13、投标分项报价表</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（1）投标的货物总价；</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（2）货物的标准附件、备品备件、专用工具、运输、装卸等各种费用；</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（3）必要的保险费用和各项税金；</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（4）投标总价要求包含安装维保费用。</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13.2 投标人应根据投标报价要求在投标分项报价表中列明各项投标单价、总价等，未全部列示的作无效响应处理。</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13.3 投标文件中的单价和总价无特殊规定的采用人民币报价，以元为单位标注。招标文件中另有规定的按规定执行。</w:t>
      </w:r>
      <w:r/>
    </w:p>
    <w:p>
      <w:pPr>
        <w:pStyle w:val="1017"/>
        <w:numPr>
          <w:ilvl w:val="0"/>
          <w:numId w:val="0"/>
        </w:numPr>
        <w:jc w:val="left"/>
        <w:keepLines w:val="0"/>
        <w:pageBreakBefore w:val="0"/>
        <w:spacing w:before="0" w:after="0" w:line="360" w:lineRule="auto"/>
        <w:rPr>
          <w:color w:val="auto"/>
          <w:sz w:val="28"/>
          <w:szCs w:val="28"/>
          <w:highlight w:val="none"/>
        </w:rPr>
      </w:pPr>
      <w:r>
        <w:rPr>
          <w:rFonts w:hint="eastAsia"/>
          <w:color w:val="auto"/>
          <w:sz w:val="28"/>
          <w:szCs w:val="28"/>
          <w:highlight w:val="none"/>
        </w:rPr>
        <w:t xml:space="preserve">14、技术要求响应及偏离表、商务要求响应及偏离表</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14.2 投标人可在投标文件中提供认为需要的其他技术文件或说明。</w:t>
      </w:r>
      <w:r/>
    </w:p>
    <w:p>
      <w:pPr>
        <w:pStyle w:val="1017"/>
        <w:numPr>
          <w:ilvl w:val="0"/>
          <w:numId w:val="0"/>
        </w:numPr>
        <w:jc w:val="left"/>
        <w:keepLines w:val="0"/>
        <w:pageBreakBefore w:val="0"/>
        <w:spacing w:before="0" w:after="0" w:line="360" w:lineRule="auto"/>
        <w:rPr>
          <w:color w:val="auto"/>
          <w:sz w:val="28"/>
          <w:szCs w:val="28"/>
          <w:highlight w:val="none"/>
        </w:rPr>
      </w:pPr>
      <w:r>
        <w:rPr>
          <w:rFonts w:hint="eastAsia"/>
          <w:color w:val="auto"/>
          <w:sz w:val="28"/>
          <w:szCs w:val="28"/>
          <w:highlight w:val="none"/>
        </w:rPr>
        <w:t xml:space="preserve">15、服务承诺、培训计划、人员安排及其他</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15.1 投标人应根据招标文件要求提供有关售后服务的管理制度，售后服务机构的分布情况，售后服务人员的数量、素质、技术水平及售后服务的反应能力等。</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15.2 投标人应根据招标文件要求提供培训计划、人员安排等。</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15.3 投标人应根据招标文件要求提供所投标的的主要组成部分、功能设计、实现思路及关键技术等。</w:t>
      </w:r>
      <w:r/>
    </w:p>
    <w:p>
      <w:pPr>
        <w:pStyle w:val="1017"/>
        <w:numPr>
          <w:ilvl w:val="0"/>
          <w:numId w:val="0"/>
        </w:numPr>
        <w:jc w:val="left"/>
        <w:keepLines w:val="0"/>
        <w:pageBreakBefore w:val="0"/>
        <w:spacing w:before="0" w:after="0" w:line="360" w:lineRule="auto"/>
        <w:rPr>
          <w:color w:val="auto"/>
          <w:sz w:val="28"/>
          <w:szCs w:val="28"/>
          <w:highlight w:val="none"/>
        </w:rPr>
      </w:pPr>
      <w:r>
        <w:rPr>
          <w:rFonts w:hint="eastAsia"/>
          <w:color w:val="auto"/>
          <w:sz w:val="28"/>
          <w:szCs w:val="28"/>
          <w:highlight w:val="none"/>
        </w:rPr>
        <w:t xml:space="preserve">16、投标函和开标一览表</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16.1 投标人应按照招标文件提供的格式完整、正确填写投标函、开标一览表。</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16.2 对于采用货币报价的项目，开标一览表中的投标总报价应与投标分项报价表中的投标总报价一致，如不一致，不作无效投标处理，但评标时以开标一览表中价格为准。</w:t>
      </w:r>
      <w:r/>
    </w:p>
    <w:p>
      <w:pPr>
        <w:pStyle w:val="1017"/>
        <w:numPr>
          <w:ilvl w:val="0"/>
          <w:numId w:val="0"/>
        </w:numPr>
        <w:jc w:val="left"/>
        <w:keepLines w:val="0"/>
        <w:pageBreakBefore w:val="0"/>
        <w:spacing w:before="0" w:after="0" w:line="360" w:lineRule="auto"/>
        <w:rPr>
          <w:color w:val="auto"/>
          <w:sz w:val="28"/>
          <w:szCs w:val="28"/>
          <w:highlight w:val="none"/>
        </w:rPr>
      </w:pPr>
      <w:r>
        <w:rPr>
          <w:rFonts w:hint="eastAsia"/>
          <w:color w:val="auto"/>
          <w:sz w:val="28"/>
          <w:szCs w:val="28"/>
          <w:highlight w:val="none"/>
        </w:rPr>
        <w:t xml:space="preserve">17、投标有效期</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17.1 投标有效期为招标文件规定的开标之日后六十（60）天。投标有效期比规定短的将被视为未实质性响应招标文件而予以拒绝。</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17.2 在特殊情况下，</w:t>
      </w:r>
      <w:r>
        <w:rPr>
          <w:rFonts w:hint="eastAsia"/>
          <w:color w:val="auto"/>
          <w:sz w:val="24"/>
          <w:szCs w:val="24"/>
          <w:highlight w:val="none"/>
          <w:lang w:eastAsia="zh-CN"/>
        </w:rPr>
        <w:t xml:space="preserve">采购代理机构</w:t>
      </w:r>
      <w:r>
        <w:rPr>
          <w:rFonts w:hint="eastAsia"/>
          <w:color w:val="auto"/>
          <w:sz w:val="24"/>
          <w:szCs w:val="24"/>
          <w:highlight w:val="none"/>
        </w:rPr>
        <w:t xml:space="preserve">于原投标有效期满之前，可向投标人提出延长投标有效期的要求。这种要求与答复均应采用书面形式。投标人可以拒绝</w:t>
      </w:r>
      <w:r>
        <w:rPr>
          <w:rFonts w:hint="eastAsia"/>
          <w:color w:val="auto"/>
          <w:sz w:val="24"/>
          <w:szCs w:val="24"/>
          <w:highlight w:val="none"/>
          <w:lang w:eastAsia="zh-CN"/>
        </w:rPr>
        <w:t xml:space="preserve">采购代理机构</w:t>
      </w:r>
      <w:r>
        <w:rPr>
          <w:rFonts w:hint="eastAsia"/>
          <w:color w:val="auto"/>
          <w:sz w:val="24"/>
          <w:szCs w:val="24"/>
          <w:highlight w:val="none"/>
        </w:rPr>
        <w:t xml:space="preserve">的这一要求而放弃投标，同意延长投标有效期的投标人既不能要求也不允许修改其投标文件。受投标有效期约束的所有权利与义务均延长至新的有效期。</w:t>
      </w:r>
      <w:r/>
    </w:p>
    <w:p>
      <w:pPr>
        <w:pStyle w:val="1016"/>
        <w:numPr>
          <w:ilvl w:val="0"/>
          <w:numId w:val="0"/>
        </w:numPr>
        <w:ind w:left="425"/>
        <w:keepLines w:val="0"/>
        <w:pageBreakBefore w:val="0"/>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四、投标文件递交</w:t>
      </w:r>
      <w:r/>
    </w:p>
    <w:p>
      <w:pPr>
        <w:pStyle w:val="1017"/>
        <w:numPr>
          <w:ilvl w:val="0"/>
          <w:numId w:val="0"/>
        </w:numPr>
        <w:jc w:val="left"/>
        <w:keepLines w:val="0"/>
        <w:pageBreakBefore w:val="0"/>
        <w:spacing w:before="0" w:after="0" w:line="360" w:lineRule="auto"/>
        <w:rPr>
          <w:color w:val="auto"/>
          <w:sz w:val="28"/>
          <w:szCs w:val="28"/>
          <w:highlight w:val="none"/>
        </w:rPr>
      </w:pPr>
      <w:r>
        <w:rPr>
          <w:rFonts w:hint="eastAsia"/>
          <w:color w:val="auto"/>
          <w:sz w:val="28"/>
          <w:szCs w:val="28"/>
          <w:highlight w:val="none"/>
        </w:rPr>
        <w:t xml:space="preserve">18、电子投标文件的递交</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18.1 投标人应当按照《操作手册》规定，在投标截止时间前制作并递交（上传）电子投标文件。</w:t>
      </w:r>
      <w:r/>
    </w:p>
    <w:p>
      <w:pPr>
        <w:pStyle w:val="1017"/>
        <w:numPr>
          <w:ilvl w:val="0"/>
          <w:numId w:val="0"/>
        </w:numPr>
        <w:jc w:val="left"/>
        <w:keepLines w:val="0"/>
        <w:pageBreakBefore w:val="0"/>
        <w:spacing w:before="0" w:after="0" w:line="360" w:lineRule="auto"/>
        <w:rPr>
          <w:color w:val="auto"/>
          <w:sz w:val="28"/>
          <w:szCs w:val="28"/>
          <w:highlight w:val="none"/>
        </w:rPr>
      </w:pPr>
      <w:r>
        <w:rPr>
          <w:rFonts w:hint="eastAsia"/>
          <w:color w:val="auto"/>
          <w:sz w:val="28"/>
          <w:szCs w:val="28"/>
          <w:highlight w:val="none"/>
        </w:rPr>
        <w:t xml:space="preserve">19、投标截止时间</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19.1 投标人递交（上传）电子投标文件的时间不得迟于招标公告中规定的投标截止时间。</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投标人应充分考虑计算机硬件、软件及网络环境等风险因素，如因投标人自身原因造成电子投标文件递交（上传）不成功的按照本招标文件第二章第27.1条规定作无效投标处理。</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19.2 采购人和</w:t>
      </w:r>
      <w:r>
        <w:rPr>
          <w:rFonts w:hint="eastAsia"/>
          <w:color w:val="auto"/>
          <w:sz w:val="24"/>
          <w:szCs w:val="24"/>
          <w:highlight w:val="none"/>
          <w:lang w:eastAsia="zh-CN"/>
        </w:rPr>
        <w:t xml:space="preserve">采购代理机构</w:t>
      </w:r>
      <w:r>
        <w:rPr>
          <w:rFonts w:hint="eastAsia"/>
          <w:color w:val="auto"/>
          <w:sz w:val="24"/>
          <w:szCs w:val="24"/>
          <w:highlight w:val="none"/>
        </w:rPr>
        <w:t xml:space="preserve">可以按照规定，通过修改招标文件酌情延长投标截止时间，在此情况下，投标人的所有权利和义务以及投标人受制的截止时间均应以延长后新的截止时间为准。</w:t>
      </w:r>
      <w:r/>
    </w:p>
    <w:p>
      <w:pPr>
        <w:pStyle w:val="1017"/>
        <w:numPr>
          <w:ilvl w:val="0"/>
          <w:numId w:val="0"/>
        </w:numPr>
        <w:jc w:val="left"/>
        <w:keepLines w:val="0"/>
        <w:pageBreakBefore w:val="0"/>
        <w:spacing w:before="0" w:after="0" w:line="360" w:lineRule="auto"/>
        <w:rPr>
          <w:color w:val="auto"/>
          <w:sz w:val="28"/>
          <w:szCs w:val="28"/>
          <w:highlight w:val="none"/>
        </w:rPr>
      </w:pPr>
      <w:r>
        <w:rPr>
          <w:rFonts w:hint="eastAsia"/>
          <w:color w:val="auto"/>
          <w:sz w:val="28"/>
          <w:szCs w:val="28"/>
          <w:highlight w:val="none"/>
        </w:rPr>
        <w:t xml:space="preserve">20、投标文件的拒收</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20.1 </w:t>
      </w:r>
      <w:r>
        <w:rPr>
          <w:rFonts w:hint="eastAsia"/>
          <w:color w:val="auto"/>
          <w:sz w:val="24"/>
          <w:szCs w:val="24"/>
          <w:highlight w:val="none"/>
          <w:lang w:eastAsia="zh-CN"/>
        </w:rPr>
        <w:t xml:space="preserve">采购代理机构</w:t>
      </w:r>
      <w:r>
        <w:rPr>
          <w:rFonts w:hint="eastAsia"/>
          <w:color w:val="auto"/>
          <w:sz w:val="24"/>
          <w:szCs w:val="24"/>
          <w:highlight w:val="none"/>
        </w:rPr>
        <w:t xml:space="preserve">拒绝接收在招标文件规定的投标截止时间后递交（上传）的任何投标文件。</w:t>
      </w:r>
      <w:r/>
    </w:p>
    <w:p>
      <w:pPr>
        <w:pStyle w:val="1017"/>
        <w:numPr>
          <w:ilvl w:val="0"/>
          <w:numId w:val="0"/>
        </w:numPr>
        <w:jc w:val="left"/>
        <w:keepLines w:val="0"/>
        <w:pageBreakBefore w:val="0"/>
        <w:spacing w:before="0" w:after="0" w:line="360" w:lineRule="auto"/>
        <w:rPr>
          <w:color w:val="auto"/>
          <w:sz w:val="28"/>
          <w:szCs w:val="28"/>
          <w:highlight w:val="none"/>
        </w:rPr>
      </w:pPr>
      <w:r>
        <w:rPr>
          <w:rFonts w:hint="eastAsia"/>
          <w:color w:val="auto"/>
          <w:sz w:val="28"/>
          <w:szCs w:val="28"/>
          <w:highlight w:val="none"/>
        </w:rPr>
        <w:t xml:space="preserve">21、投标文件的撤回和修改</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21.1 投标人可在投标截止时间前，撤回其电子投标文件，具体操作方法见《操作手册》。投标人撤回电子投标文件的，则认为其不再参与本项目采购活动。</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21.2 投标人可在投标截止时间前，对其电子投标文件进行修改，具体操作方法见《操作手册》。在投标截止时间之后，投标人不得对其电子投标文件做任何修改。</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21.3 在投标截止时间至招标文件规定的投标有效期满之间的这段时间内，投标人不得撤回其投标。</w:t>
      </w:r>
      <w:r/>
    </w:p>
    <w:p>
      <w:pPr>
        <w:pStyle w:val="1016"/>
        <w:numPr>
          <w:ilvl w:val="0"/>
          <w:numId w:val="0"/>
        </w:numPr>
        <w:ind w:left="425"/>
        <w:keepLines w:val="0"/>
        <w:pageBreakBefore w:val="0"/>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五、开标与评标</w:t>
      </w:r>
      <w:r/>
    </w:p>
    <w:p>
      <w:pPr>
        <w:pStyle w:val="1017"/>
        <w:numPr>
          <w:ilvl w:val="0"/>
          <w:numId w:val="0"/>
        </w:numPr>
        <w:jc w:val="left"/>
        <w:keepLines w:val="0"/>
        <w:pageBreakBefore w:val="0"/>
        <w:spacing w:before="0" w:after="0" w:line="360" w:lineRule="auto"/>
        <w:rPr>
          <w:color w:val="auto"/>
          <w:sz w:val="28"/>
          <w:szCs w:val="28"/>
          <w:highlight w:val="none"/>
        </w:rPr>
      </w:pPr>
      <w:r>
        <w:rPr>
          <w:rFonts w:hint="eastAsia"/>
          <w:color w:val="auto"/>
          <w:sz w:val="28"/>
          <w:szCs w:val="28"/>
          <w:highlight w:val="none"/>
        </w:rPr>
        <w:t xml:space="preserve">22、开标</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22.1 </w:t>
      </w:r>
      <w:r>
        <w:rPr>
          <w:rFonts w:hint="eastAsia"/>
          <w:color w:val="auto"/>
          <w:sz w:val="24"/>
          <w:szCs w:val="24"/>
          <w:highlight w:val="none"/>
          <w:lang w:eastAsia="zh-CN"/>
        </w:rPr>
        <w:t xml:space="preserve">采购代理机构</w:t>
      </w:r>
      <w:r>
        <w:rPr>
          <w:rFonts w:hint="eastAsia"/>
          <w:color w:val="auto"/>
          <w:sz w:val="24"/>
          <w:szCs w:val="24"/>
          <w:highlight w:val="none"/>
        </w:rPr>
        <w:t xml:space="preserve">将在招标公告中规定的时间和地点组织公开开标。投标人应当按时参加开标活动，并在“苏采云”系统规定的时间内对其投标文件进行解密。</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22.2 开标仪式由</w:t>
      </w:r>
      <w:r>
        <w:rPr>
          <w:rFonts w:hint="eastAsia"/>
          <w:color w:val="auto"/>
          <w:sz w:val="24"/>
          <w:szCs w:val="24"/>
          <w:highlight w:val="none"/>
          <w:lang w:eastAsia="zh-CN"/>
        </w:rPr>
        <w:t xml:space="preserve">采购代理机构</w:t>
      </w:r>
      <w:r>
        <w:rPr>
          <w:rFonts w:hint="eastAsia"/>
          <w:color w:val="auto"/>
          <w:sz w:val="24"/>
          <w:szCs w:val="24"/>
          <w:highlight w:val="none"/>
        </w:rPr>
        <w:t xml:space="preserve">组织。“苏采云”系统将自动对项目进行开标，并宣布各投标人名称和投标价格。</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22.3 投标人在开标过程中涉及到的投标文件解密、开标结果确认等工作，应当按照《操作手册》规定执行。</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22.4 投标人如果对开标过程和开标记录有疑义，应当按照《操作手册》规定提出，未在“苏采云”系统《开标记录表》宣布后5分钟内提出的，视同认可开标结果。</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22.5 投标人未参加开标的，视同认可开标结果。</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22.6 投标人在开标、评标全过程中应保持通讯畅通，及时登录“苏采云”系统查阅、答复相关信息，并安排专人与</w:t>
      </w:r>
      <w:r>
        <w:rPr>
          <w:rFonts w:hint="eastAsia"/>
          <w:color w:val="auto"/>
          <w:sz w:val="24"/>
          <w:szCs w:val="24"/>
          <w:highlight w:val="none"/>
          <w:lang w:eastAsia="zh-CN"/>
        </w:rPr>
        <w:t xml:space="preserve">采购代理机构</w:t>
      </w:r>
      <w:r>
        <w:rPr>
          <w:rFonts w:hint="eastAsia"/>
          <w:color w:val="auto"/>
          <w:sz w:val="24"/>
          <w:szCs w:val="24"/>
          <w:highlight w:val="none"/>
        </w:rPr>
        <w:t xml:space="preserve">及评委会联系。</w:t>
      </w:r>
      <w:r/>
    </w:p>
    <w:p>
      <w:pPr>
        <w:pStyle w:val="1017"/>
        <w:numPr>
          <w:ilvl w:val="0"/>
          <w:numId w:val="0"/>
        </w:numPr>
        <w:jc w:val="left"/>
        <w:keepLines w:val="0"/>
        <w:pageBreakBefore w:val="0"/>
        <w:spacing w:before="0" w:after="0" w:line="360" w:lineRule="auto"/>
        <w:rPr>
          <w:color w:val="auto"/>
          <w:sz w:val="28"/>
          <w:szCs w:val="28"/>
          <w:highlight w:val="none"/>
        </w:rPr>
      </w:pPr>
      <w:r>
        <w:rPr>
          <w:rFonts w:hint="eastAsia"/>
          <w:color w:val="auto"/>
          <w:sz w:val="28"/>
          <w:szCs w:val="28"/>
          <w:highlight w:val="none"/>
        </w:rPr>
        <w:t xml:space="preserve">23、评标委员会</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23.1 开标后，</w:t>
      </w:r>
      <w:r>
        <w:rPr>
          <w:rFonts w:hint="eastAsia"/>
          <w:color w:val="auto"/>
          <w:sz w:val="24"/>
          <w:szCs w:val="24"/>
          <w:highlight w:val="none"/>
          <w:lang w:eastAsia="zh-CN"/>
        </w:rPr>
        <w:t xml:space="preserve">采购代理机构</w:t>
      </w:r>
      <w:r>
        <w:rPr>
          <w:rFonts w:hint="eastAsia"/>
          <w:color w:val="auto"/>
          <w:sz w:val="24"/>
          <w:szCs w:val="24"/>
          <w:highlight w:val="none"/>
        </w:rPr>
        <w:t xml:space="preserve">将组织评委会进行评标。</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23.2 评委会由采购人代表和有关技术、经济等方面的评审专家组成，且人员构成符合政府采购有关规定。</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23.3 评委会按照采购文件规定的评审程序、评审方法和评审标准进行独立评审并确定中标候选人。</w:t>
      </w:r>
      <w:r/>
    </w:p>
    <w:p>
      <w:pPr>
        <w:pStyle w:val="1017"/>
        <w:numPr>
          <w:ilvl w:val="0"/>
          <w:numId w:val="0"/>
        </w:numPr>
        <w:jc w:val="left"/>
        <w:keepLines w:val="0"/>
        <w:pageBreakBefore w:val="0"/>
        <w:spacing w:before="0" w:after="0" w:line="360" w:lineRule="auto"/>
        <w:rPr>
          <w:color w:val="auto"/>
          <w:sz w:val="28"/>
          <w:szCs w:val="28"/>
          <w:highlight w:val="none"/>
        </w:rPr>
      </w:pPr>
      <w:r>
        <w:rPr>
          <w:rFonts w:hint="eastAsia"/>
          <w:color w:val="auto"/>
          <w:sz w:val="28"/>
          <w:szCs w:val="28"/>
          <w:highlight w:val="none"/>
        </w:rPr>
        <w:t xml:space="preserve">24、评标过程的保密与公正</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24.1 凡是与审查、澄清、评价和比较投标的有关资料以及授标建议等，采购人、评审专家、</w:t>
      </w:r>
      <w:r>
        <w:rPr>
          <w:rFonts w:hint="eastAsia"/>
          <w:color w:val="auto"/>
          <w:sz w:val="24"/>
          <w:szCs w:val="24"/>
          <w:highlight w:val="none"/>
          <w:lang w:eastAsia="zh-CN"/>
        </w:rPr>
        <w:t xml:space="preserve">采购代理机构</w:t>
      </w:r>
      <w:r>
        <w:rPr>
          <w:rFonts w:hint="eastAsia"/>
          <w:color w:val="auto"/>
          <w:sz w:val="24"/>
          <w:szCs w:val="24"/>
          <w:highlight w:val="none"/>
        </w:rPr>
        <w:t xml:space="preserve">均不得向投标人或与评标无关的其他人员透露。</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24.2 在评标过程中，投标人不得以任何行为影响评标过程，否则其投标文件将被作为无效投标文件。</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24.3 </w:t>
      </w:r>
      <w:r>
        <w:rPr>
          <w:rFonts w:hint="eastAsia"/>
          <w:color w:val="auto"/>
          <w:sz w:val="24"/>
          <w:szCs w:val="24"/>
          <w:highlight w:val="none"/>
          <w:lang w:eastAsia="zh-CN"/>
        </w:rPr>
        <w:t xml:space="preserve">采购代理机构</w:t>
      </w:r>
      <w:r>
        <w:rPr>
          <w:rFonts w:hint="eastAsia"/>
          <w:color w:val="auto"/>
          <w:sz w:val="24"/>
          <w:szCs w:val="24"/>
          <w:highlight w:val="none"/>
        </w:rPr>
        <w:t xml:space="preserve">和评委会不向未中标的投标人解释未中标原因，也不公布评标过程中的相关细节。</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24.4 采用综合评分法的项目，未中标的投标人可于中标结果公告期限届满之日起通过“苏采云”系统查看自己的评审得分及排序情况。</w:t>
      </w:r>
      <w:r/>
    </w:p>
    <w:p>
      <w:pPr>
        <w:pStyle w:val="1017"/>
        <w:numPr>
          <w:ilvl w:val="0"/>
          <w:numId w:val="0"/>
        </w:numPr>
        <w:jc w:val="left"/>
        <w:keepLines w:val="0"/>
        <w:pageBreakBefore w:val="0"/>
        <w:spacing w:before="0" w:after="0" w:line="360" w:lineRule="auto"/>
        <w:rPr>
          <w:color w:val="auto"/>
          <w:sz w:val="28"/>
          <w:szCs w:val="28"/>
          <w:highlight w:val="none"/>
        </w:rPr>
      </w:pPr>
      <w:r>
        <w:rPr>
          <w:rFonts w:hint="eastAsia"/>
          <w:color w:val="auto"/>
          <w:sz w:val="28"/>
          <w:szCs w:val="28"/>
          <w:highlight w:val="none"/>
        </w:rPr>
        <w:t xml:space="preserve">25、投标文件的澄清</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25.1 评标期间，评委会对投标文件中含义不明确、同类问题表述不一致或者有明显文字和计算错误的内容，有权要求投标人作出必要的澄清、说明或者补正。</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评委会并非对每个投标人都提出澄清、说明或者补正要求。</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25.3 接到评委会澄清、说明或者补正要求的投标人如未按要求响应，其风险由投标人自行承担。</w:t>
      </w:r>
      <w:r/>
    </w:p>
    <w:p>
      <w:pPr>
        <w:pStyle w:val="1017"/>
        <w:numPr>
          <w:ilvl w:val="0"/>
          <w:numId w:val="0"/>
        </w:numPr>
        <w:jc w:val="left"/>
        <w:keepLines w:val="0"/>
        <w:pageBreakBefore w:val="0"/>
        <w:spacing w:before="0" w:after="0" w:line="360" w:lineRule="auto"/>
        <w:rPr>
          <w:color w:val="auto"/>
          <w:sz w:val="28"/>
          <w:szCs w:val="28"/>
          <w:highlight w:val="none"/>
        </w:rPr>
      </w:pPr>
      <w:r>
        <w:rPr>
          <w:rFonts w:hint="eastAsia"/>
          <w:color w:val="auto"/>
          <w:sz w:val="28"/>
          <w:szCs w:val="28"/>
          <w:highlight w:val="none"/>
        </w:rPr>
        <w:t xml:space="preserve">26、对投标文件的初审</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26.1 投标文件初审分为资格审查和符合性审查。</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（1）资格审查：采购人依据法律法规和招标文件的规定，对投标文件中的资格证明文件进行审查。资格审查的结论，采购人以书面形式向评委会进行反馈。</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采购人在进行资格审查的同时，将在信用中国网站（www.creditchina.gov.cn）、中国政府采购网（www.ccgp.gov.cn）查询投标人的信用记录，以确定投标人是否具备投标资格，查询结果留存并归档。</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（2）符合性审查：评委会依据招标文件的规定，从投标文件的有效性、完整性和对招标文件的响应程度进行审查，以确定其是否对招标文件的全部实质性要求作出响应。</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未通过资格审查或符合性审查的投标人，将通过“苏采云”系统中告知其未通过的原因，评审结束后，将不再告知。</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26.2 在详细评标之前，评委会将首先审查每份投标文件是否实质性响应了招标文件的要求。实质性响应的投标应当是与招标文件要求的全部条款、条件和规格相符，没有重大偏离或保留的投标。</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所谓重大偏离或保留是指与招标文件规定的实质性要求存在负偏离，或者在实质上与招标文件不一致，而且限制了合同中买方和</w:t>
      </w:r>
      <w:r>
        <w:rPr>
          <w:rFonts w:hint="eastAsia"/>
          <w:color w:val="auto"/>
          <w:sz w:val="24"/>
          <w:szCs w:val="24"/>
          <w:highlight w:val="none"/>
          <w:lang w:eastAsia="zh-CN"/>
        </w:rPr>
        <w:t xml:space="preserve">采购代理机构</w:t>
      </w:r>
      <w:r>
        <w:rPr>
          <w:rFonts w:hint="eastAsia"/>
          <w:color w:val="auto"/>
          <w:sz w:val="24"/>
          <w:szCs w:val="24"/>
          <w:highlight w:val="none"/>
        </w:rPr>
        <w:t xml:space="preserve">的权利或投标人的义务，纠正这些偏离或保留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26.3 如果投标文件实质上没有响应招标文件的要求，评委会将予以拒绝，投标人不得通过修改或撤销不符合要求的偏离或保留而使其投标成为实质性响应的投标。</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26.4 评委会将对确定为实质性响应的投标进行进一步审核，看其是否有计算上或累加上的算术错误，修正错误的原则如下：</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（1）投标文件中开标一览表内容与投标文件中相应内容不一致的，以开标一览表为准。</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（2）大写金额和小写金额不一致的，以大写金额为准。</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（3）单价金额小数点或者百分比有明显错位的，以开标一览表的总价为准，并修改单价。</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（4）总价金额与按单价汇总金额不一致的，以单价金额计算结果为准。</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同时出现两种以上错误的，按照前款规定的顺序修正。</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非单一产品采购项目，招标文件中将载明核心产品。多家投标人提供的核心产品品牌相同的，按前两款规定处理。</w:t>
      </w:r>
      <w:r/>
    </w:p>
    <w:p>
      <w:pPr>
        <w:pStyle w:val="1017"/>
        <w:numPr>
          <w:ilvl w:val="0"/>
          <w:numId w:val="0"/>
        </w:numPr>
        <w:jc w:val="left"/>
        <w:keepLines w:val="0"/>
        <w:pageBreakBefore w:val="0"/>
        <w:spacing w:before="0" w:after="0" w:line="360" w:lineRule="auto"/>
        <w:rPr>
          <w:color w:val="auto"/>
          <w:sz w:val="28"/>
          <w:szCs w:val="28"/>
          <w:highlight w:val="none"/>
        </w:rPr>
      </w:pPr>
      <w:r>
        <w:rPr>
          <w:rFonts w:hint="eastAsia"/>
          <w:color w:val="auto"/>
          <w:sz w:val="28"/>
          <w:szCs w:val="28"/>
          <w:highlight w:val="none"/>
        </w:rPr>
        <w:t xml:space="preserve">27、无效投标条款和废标条款</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27.1 无效投标条款：</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（1）投标人未按照招标文件要求递交（上传）电子投标文件的。</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（2）投标人在“苏采云”系统规定的时间内未成功解密电子投标文件的。</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（3）投标人不具备招标文件中规定的资格要求的。</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（5）投标人提交两个（含两个）以上不同的投标报价的。</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（6）投标人的报价超过了采购预算或者最高限价的。</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7）评委会认为投标人的报价明显低于其他通过符合性审查投标人的报价，有可能影响产品质量或者不能诚信履约，将通过“苏采云”系统要求其在合理的时间内提供说明，必要时提交相关证明材料，投标人不能证明其报价合理性的。</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（8）不符合招标文件规定的实质性要求和条件的。（本招标文件中斜体且有下划线部分为实质性要求和条件）</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（10）投标人未通过符合性审查的。</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（11）投标文件含有采购人不能接受的附加条件的。</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（12）投标文件未按照招标文件要求加盖公章（CA电子公章）的。</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（13）其他法律、法规及本招标文件规定的属于无效投标的情形。</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27.2 有下列情形之一的，视为投标人串通投标，投标无效：</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（1）不同投标人的投标文件由同一单位或者个人编制。</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（2）不同投标人委托同一单位或者个人办理投标事宜。</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（3）不同投标人的投标文件载明的项目管理成员或者联系人员为同一人。</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（4）不同投标人的投标文件异常一致或者投标报价呈规律性差异。</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（5）不同投标人的投标文件相互混装。</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27.3 废标条款：</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（1）因“苏采云”系统故障原因造成开标不成功的。</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（2）评委会认定招标文件存在歧义、重大缺陷导致评标工作无法进行，或者招标文件内容违反国家有关强制性规定的。</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（3）符合专业条件的供应商或者对招标文件作实质响应的供应商不足三家的。</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（4）出现影响采购公正的违法、违规行为的。</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（5）因重大变故，采购任务取消的。</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27.4 出现投标截止时间结束后参加投标的供应商或者在评标期间对招标文件做出实质响应的供应商不足三家情况的，按照政府采购有关规定执行。</w:t>
      </w:r>
      <w:r/>
    </w:p>
    <w:p>
      <w:pPr>
        <w:pStyle w:val="1016"/>
        <w:numPr>
          <w:ilvl w:val="0"/>
          <w:numId w:val="0"/>
        </w:numPr>
        <w:ind w:left="425"/>
        <w:keepLines w:val="0"/>
        <w:pageBreakBefore w:val="0"/>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六、定标</w:t>
      </w:r>
      <w:r/>
    </w:p>
    <w:p>
      <w:pPr>
        <w:pStyle w:val="1017"/>
        <w:numPr>
          <w:ilvl w:val="0"/>
          <w:numId w:val="0"/>
        </w:numPr>
        <w:jc w:val="left"/>
        <w:keepLines w:val="0"/>
        <w:pageBreakBefore w:val="0"/>
        <w:spacing w:before="0" w:after="0" w:line="360" w:lineRule="auto"/>
        <w:rPr>
          <w:color w:val="auto"/>
          <w:sz w:val="28"/>
          <w:szCs w:val="28"/>
          <w:highlight w:val="none"/>
        </w:rPr>
      </w:pPr>
      <w:r>
        <w:rPr>
          <w:rFonts w:hint="eastAsia"/>
          <w:color w:val="auto"/>
          <w:sz w:val="28"/>
          <w:szCs w:val="28"/>
          <w:highlight w:val="none"/>
        </w:rPr>
        <w:t xml:space="preserve">28、确定中标单位</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28.1 中标候选人的选取原则和数量详见招标文件第五章规定。 </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28.2 采购人应根据评委会推荐的中标候选人确定中标人。</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28.3 </w:t>
      </w:r>
      <w:r>
        <w:rPr>
          <w:rFonts w:hint="eastAsia"/>
          <w:color w:val="auto"/>
          <w:sz w:val="24"/>
          <w:szCs w:val="24"/>
          <w:highlight w:val="none"/>
          <w:lang w:eastAsia="zh-CN"/>
        </w:rPr>
        <w:t xml:space="preserve">采购代理机构</w:t>
      </w:r>
      <w:r>
        <w:rPr>
          <w:rFonts w:hint="eastAsia"/>
          <w:color w:val="auto"/>
          <w:sz w:val="24"/>
          <w:szCs w:val="24"/>
          <w:highlight w:val="none"/>
        </w:rPr>
        <w:t xml:space="preserve">将在江苏政府采购网发布中标公告，公告期限为1个工作日。</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28.4 若有充分证据证明，中标人存在下列情形之一的，一经查实，将被取消中标资格：</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（1）提供虚假材料谋取中标、成交的。</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（2）采取不正当手段诋毁、排挤其他供应商的。</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（3）与采购人、其他供应商或者</w:t>
      </w:r>
      <w:r>
        <w:rPr>
          <w:rFonts w:hint="eastAsia"/>
          <w:color w:val="auto"/>
          <w:sz w:val="24"/>
          <w:szCs w:val="24"/>
          <w:highlight w:val="none"/>
          <w:lang w:eastAsia="zh-CN"/>
        </w:rPr>
        <w:t xml:space="preserve">采购代理机构</w:t>
      </w:r>
      <w:r>
        <w:rPr>
          <w:rFonts w:hint="eastAsia"/>
          <w:color w:val="auto"/>
          <w:sz w:val="24"/>
          <w:szCs w:val="24"/>
          <w:highlight w:val="none"/>
        </w:rPr>
        <w:t xml:space="preserve">恶意串通的。</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（4）向采购人、</w:t>
      </w:r>
      <w:r>
        <w:rPr>
          <w:rFonts w:hint="eastAsia"/>
          <w:color w:val="auto"/>
          <w:sz w:val="24"/>
          <w:szCs w:val="24"/>
          <w:highlight w:val="none"/>
          <w:lang w:eastAsia="zh-CN"/>
        </w:rPr>
        <w:t xml:space="preserve">采购代理机构</w:t>
      </w:r>
      <w:r>
        <w:rPr>
          <w:rFonts w:hint="eastAsia"/>
          <w:color w:val="auto"/>
          <w:sz w:val="24"/>
          <w:szCs w:val="24"/>
          <w:highlight w:val="none"/>
        </w:rPr>
        <w:t xml:space="preserve">行贿或者提供其他不正当利益的。</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（5）在招标采购过程中与采购人进行协商谈判的。</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（6）属于本招标文件规定的无效情形，但在评标过程中又未被评委会发现的。</w:t>
      </w:r>
      <w:r/>
    </w:p>
    <w:p>
      <w:pPr>
        <w:pStyle w:val="1017"/>
        <w:numPr>
          <w:ilvl w:val="0"/>
          <w:numId w:val="0"/>
        </w:numPr>
        <w:jc w:val="left"/>
        <w:keepLines w:val="0"/>
        <w:pageBreakBefore w:val="0"/>
        <w:spacing w:before="0" w:after="0" w:line="360" w:lineRule="auto"/>
        <w:rPr>
          <w:color w:val="auto"/>
          <w:sz w:val="28"/>
          <w:szCs w:val="28"/>
          <w:highlight w:val="none"/>
        </w:rPr>
      </w:pPr>
      <w:r>
        <w:rPr>
          <w:rFonts w:hint="eastAsia"/>
          <w:color w:val="auto"/>
          <w:sz w:val="28"/>
          <w:szCs w:val="28"/>
          <w:highlight w:val="none"/>
        </w:rPr>
        <w:t xml:space="preserve">29、中标通知书</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29.1 中标结果确定后，</w:t>
      </w:r>
      <w:r>
        <w:rPr>
          <w:rFonts w:hint="eastAsia"/>
          <w:color w:val="auto"/>
          <w:sz w:val="24"/>
          <w:szCs w:val="24"/>
          <w:highlight w:val="none"/>
          <w:lang w:eastAsia="zh-CN"/>
        </w:rPr>
        <w:t xml:space="preserve">采购代理机构</w:t>
      </w:r>
      <w:r>
        <w:rPr>
          <w:rFonts w:hint="eastAsia"/>
          <w:color w:val="auto"/>
          <w:sz w:val="24"/>
          <w:szCs w:val="24"/>
          <w:highlight w:val="none"/>
        </w:rPr>
        <w:t xml:space="preserve">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29.3 中标人应在中标后七个工作日内，向采购人和</w:t>
      </w:r>
      <w:r>
        <w:rPr>
          <w:rFonts w:hint="eastAsia"/>
          <w:color w:val="auto"/>
          <w:sz w:val="24"/>
          <w:szCs w:val="24"/>
          <w:highlight w:val="none"/>
          <w:lang w:eastAsia="zh-CN"/>
        </w:rPr>
        <w:t xml:space="preserve">采购代理机构</w:t>
      </w:r>
      <w:r>
        <w:rPr>
          <w:rFonts w:hint="eastAsia"/>
          <w:color w:val="auto"/>
          <w:sz w:val="24"/>
          <w:szCs w:val="24"/>
          <w:highlight w:val="none"/>
        </w:rPr>
        <w:t xml:space="preserve">各提供一份与电子投标文件一致的纸质打印胶装投标文件，封面、骑缝需加盖公章。</w:t>
      </w:r>
      <w:r/>
    </w:p>
    <w:p>
      <w:pPr>
        <w:pStyle w:val="1016"/>
        <w:numPr>
          <w:ilvl w:val="0"/>
          <w:numId w:val="0"/>
        </w:numPr>
        <w:ind w:left="425"/>
        <w:keepLines w:val="0"/>
        <w:pageBreakBefore w:val="0"/>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七、授予合同</w:t>
      </w:r>
      <w:r/>
    </w:p>
    <w:p>
      <w:pPr>
        <w:pStyle w:val="1017"/>
        <w:numPr>
          <w:ilvl w:val="0"/>
          <w:numId w:val="0"/>
        </w:numPr>
        <w:jc w:val="left"/>
        <w:keepLines w:val="0"/>
        <w:pageBreakBefore w:val="0"/>
        <w:spacing w:before="0" w:after="0" w:line="360" w:lineRule="auto"/>
        <w:rPr>
          <w:color w:val="auto"/>
          <w:sz w:val="28"/>
          <w:szCs w:val="28"/>
          <w:highlight w:val="none"/>
        </w:rPr>
      </w:pPr>
      <w:r>
        <w:rPr>
          <w:rFonts w:hint="eastAsia"/>
          <w:color w:val="auto"/>
          <w:sz w:val="28"/>
          <w:szCs w:val="28"/>
          <w:highlight w:val="none"/>
        </w:rPr>
        <w:t xml:space="preserve">30、签订合同</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30.1 中标人应当在中标通知书发出之日起三十日内，按照招标文件和中标人投标文件的规定，与采购人签订政府采购合同。</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30.2 招标文件、中标人的投标文件及招标过程中有关澄清、承诺等文件均应作为合同附件。</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30.3 签订合同后，中标人不得将合同标的转包。未经采购人同意，中标人也不得采用分包的形式履行合同，否则采购人有权终止合同。转包或分包造成采购人损失的，中标人应承担相应赔偿责任。</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30.4 采购人</w:t>
      </w:r>
      <w:r>
        <w:rPr>
          <w:color w:val="auto"/>
          <w:sz w:val="24"/>
          <w:szCs w:val="24"/>
          <w:highlight w:val="none"/>
        </w:rPr>
        <w:t xml:space="preserve">应当在合同签订后</w:t>
      </w:r>
      <w:r>
        <w:rPr>
          <w:rFonts w:hint="eastAsia"/>
          <w:color w:val="auto"/>
          <w:sz w:val="24"/>
          <w:szCs w:val="24"/>
          <w:highlight w:val="none"/>
        </w:rPr>
        <w:t xml:space="preserve">2日</w:t>
      </w:r>
      <w:r>
        <w:rPr>
          <w:color w:val="auto"/>
          <w:sz w:val="24"/>
          <w:szCs w:val="24"/>
          <w:highlight w:val="none"/>
        </w:rPr>
        <w:t xml:space="preserve">内上传合同至苏采云</w:t>
      </w:r>
      <w:r>
        <w:rPr>
          <w:rFonts w:hint="eastAsia"/>
          <w:color w:val="auto"/>
          <w:sz w:val="24"/>
          <w:szCs w:val="24"/>
          <w:highlight w:val="none"/>
        </w:rPr>
        <w:t xml:space="preserve">公示</w:t>
      </w:r>
      <w:r>
        <w:rPr>
          <w:color w:val="auto"/>
          <w:sz w:val="24"/>
          <w:szCs w:val="24"/>
          <w:highlight w:val="none"/>
        </w:rPr>
        <w:t xml:space="preserve">。</w:t>
      </w:r>
      <w:r/>
    </w:p>
    <w:p>
      <w:pPr>
        <w:ind w:firstLine="480"/>
        <w:jc w:val="left"/>
        <w:keepLines w:val="0"/>
        <w:pageBreakBefore w:val="0"/>
        <w:spacing w:line="360" w:lineRule="auto"/>
        <w:rPr>
          <w:rFonts w:hint="eastAsia"/>
          <w:color w:val="auto"/>
          <w:sz w:val="24"/>
          <w:szCs w:val="24"/>
          <w:highlight w:val="none"/>
        </w:rPr>
      </w:pPr>
      <w:r>
        <w:rPr>
          <w:rFonts w:hint="eastAsia"/>
          <w:color w:val="auto"/>
          <w:sz w:val="24"/>
          <w:szCs w:val="24"/>
          <w:highlight w:val="none"/>
        </w:rPr>
        <w:t xml:space="preserve">30.5履约保证金</w:t>
      </w:r>
      <w:r/>
    </w:p>
    <w:p>
      <w:pPr>
        <w:ind w:firstLine="480"/>
        <w:jc w:val="left"/>
        <w:keepLines w:val="0"/>
        <w:pageBreakBefore w:val="0"/>
        <w:spacing w:line="360" w:lineRule="auto"/>
        <w:rPr>
          <w:rFonts w:hint="eastAsia"/>
          <w:color w:val="auto"/>
          <w:sz w:val="24"/>
          <w:szCs w:val="24"/>
          <w:highlight w:val="none"/>
        </w:rPr>
      </w:pPr>
      <w:r>
        <w:rPr>
          <w:rFonts w:hint="eastAsia"/>
          <w:color w:val="auto"/>
          <w:sz w:val="24"/>
          <w:szCs w:val="24"/>
          <w:highlight w:val="none"/>
        </w:rPr>
        <w:t xml:space="preserve">30.5.1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480"/>
        <w:jc w:val="left"/>
        <w:keepLines w:val="0"/>
        <w:pageBreakBefore w:val="0"/>
        <w:spacing w:line="360" w:lineRule="auto"/>
        <w:rPr>
          <w:rFonts w:hint="eastAsia"/>
          <w:color w:val="auto"/>
          <w:sz w:val="24"/>
          <w:szCs w:val="24"/>
          <w:highlight w:val="none"/>
        </w:rPr>
      </w:pPr>
      <w:r>
        <w:rPr>
          <w:rFonts w:hint="eastAsia"/>
          <w:color w:val="auto"/>
          <w:sz w:val="24"/>
          <w:szCs w:val="24"/>
          <w:highlight w:val="none"/>
        </w:rPr>
        <w:t xml:space="preserve">30.5.2 中标人违约的，采购人将按照合同约定扣除其全部或部分履约保证金。如中标人违约给采购人造成的损失超过履约保证金的，应当依法赔偿超过部分的损失。</w:t>
      </w:r>
      <w:r/>
    </w:p>
    <w:p>
      <w:pPr>
        <w:ind w:firstLine="480"/>
        <w:jc w:val="left"/>
        <w:keepLines w:val="0"/>
        <w:pageBreakBefore w:val="0"/>
        <w:spacing w:line="360" w:lineRule="auto"/>
        <w:rPr>
          <w:rFonts w:hint="eastAsia"/>
          <w:color w:val="auto"/>
          <w:sz w:val="24"/>
          <w:szCs w:val="24"/>
          <w:highlight w:val="none"/>
        </w:rPr>
      </w:pPr>
      <w:r>
        <w:rPr>
          <w:rFonts w:hint="eastAsia"/>
          <w:color w:val="auto"/>
          <w:sz w:val="24"/>
          <w:szCs w:val="24"/>
          <w:highlight w:val="none"/>
        </w:rPr>
        <w:t xml:space="preserve">30.5.3 履约保证金自合同生效之日起至合同约定的中标人主要义务履行完毕止，采购人应当按合同约定及时退还履约保证金。</w:t>
      </w:r>
      <w:r/>
    </w:p>
    <w:p>
      <w:pPr>
        <w:ind w:firstLine="480"/>
        <w:jc w:val="left"/>
        <w:keepLines w:val="0"/>
        <w:pageBreakBefore w:val="0"/>
        <w:spacing w:line="360" w:lineRule="auto"/>
        <w:rPr>
          <w:rFonts w:hint="eastAsia"/>
          <w:color w:val="auto"/>
          <w:sz w:val="24"/>
          <w:szCs w:val="24"/>
          <w:highlight w:val="none"/>
        </w:rPr>
      </w:pPr>
      <w:r>
        <w:rPr>
          <w:rFonts w:hint="eastAsia"/>
          <w:color w:val="auto"/>
          <w:sz w:val="24"/>
          <w:szCs w:val="24"/>
          <w:highlight w:val="none"/>
        </w:rPr>
        <w:t xml:space="preserve">30.5.4 逾期退还履约保证金的采购人承担违约责任，按照中国人民银行同期贷款基准利率向中标人支付超期资金占用费。</w:t>
      </w:r>
      <w:r/>
    </w:p>
    <w:p>
      <w:pPr>
        <w:ind w:firstLine="480"/>
        <w:jc w:val="left"/>
        <w:keepLines w:val="0"/>
        <w:pageBreakBefore w:val="0"/>
        <w:spacing w:line="360" w:lineRule="auto"/>
        <w:rPr>
          <w:rFonts w:hint="eastAsia"/>
          <w:color w:val="auto"/>
          <w:sz w:val="24"/>
          <w:szCs w:val="24"/>
          <w:highlight w:val="none"/>
        </w:rPr>
      </w:pPr>
      <w:r>
        <w:rPr>
          <w:rFonts w:hint="eastAsia"/>
          <w:color w:val="auto"/>
          <w:sz w:val="24"/>
          <w:szCs w:val="24"/>
          <w:highlight w:val="none"/>
        </w:rPr>
        <w:t xml:space="preserve">30.5.5 本项目履约保证金要求详见招标文件第四章 采购需求。</w:t>
      </w:r>
      <w:r/>
    </w:p>
    <w:p>
      <w:pPr>
        <w:pStyle w:val="1017"/>
        <w:numPr>
          <w:ilvl w:val="0"/>
          <w:numId w:val="0"/>
        </w:numPr>
        <w:jc w:val="left"/>
        <w:keepLines w:val="0"/>
        <w:pageBreakBefore w:val="0"/>
        <w:spacing w:before="0" w:after="0" w:line="360" w:lineRule="auto"/>
        <w:rPr>
          <w:color w:val="auto"/>
          <w:sz w:val="28"/>
          <w:szCs w:val="28"/>
          <w:highlight w:val="none"/>
        </w:rPr>
      </w:pPr>
      <w:r>
        <w:rPr>
          <w:rFonts w:hint="eastAsia"/>
          <w:color w:val="auto"/>
          <w:sz w:val="28"/>
          <w:szCs w:val="28"/>
          <w:highlight w:val="none"/>
        </w:rPr>
        <w:t xml:space="preserve">31、合同标的的追加</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31.1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1017"/>
        <w:numPr>
          <w:ilvl w:val="0"/>
          <w:numId w:val="0"/>
        </w:numPr>
        <w:jc w:val="left"/>
        <w:keepLines w:val="0"/>
        <w:pageBreakBefore w:val="0"/>
        <w:spacing w:before="0" w:after="0" w:line="360" w:lineRule="auto"/>
        <w:rPr>
          <w:color w:val="auto"/>
          <w:sz w:val="28"/>
          <w:szCs w:val="28"/>
          <w:highlight w:val="none"/>
        </w:rPr>
      </w:pPr>
      <w:r>
        <w:rPr>
          <w:rFonts w:hint="eastAsia"/>
          <w:color w:val="auto"/>
          <w:sz w:val="28"/>
          <w:szCs w:val="28"/>
          <w:highlight w:val="none"/>
        </w:rPr>
        <w:t xml:space="preserve">32、政府采购履约资金扶持政策</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32.1 中标人可凭政府采购合同办理融资贷款，详情请见江苏政府采购网“政采贷”专栏。</w:t>
      </w:r>
      <w:r/>
    </w:p>
    <w:p>
      <w:pPr>
        <w:pStyle w:val="1016"/>
        <w:numPr>
          <w:ilvl w:val="0"/>
          <w:numId w:val="0"/>
        </w:numPr>
        <w:ind w:left="425"/>
        <w:keepLines w:val="0"/>
        <w:pageBreakBefore w:val="0"/>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八、询问与质疑</w:t>
      </w:r>
      <w:r/>
    </w:p>
    <w:p>
      <w:pPr>
        <w:pStyle w:val="1017"/>
        <w:numPr>
          <w:ilvl w:val="0"/>
          <w:numId w:val="0"/>
        </w:numPr>
        <w:jc w:val="left"/>
        <w:keepLines w:val="0"/>
        <w:pageBreakBefore w:val="0"/>
        <w:spacing w:before="0" w:after="0" w:line="360" w:lineRule="auto"/>
        <w:rPr>
          <w:color w:val="auto"/>
          <w:sz w:val="28"/>
          <w:szCs w:val="28"/>
          <w:highlight w:val="none"/>
        </w:rPr>
      </w:pPr>
      <w:r>
        <w:rPr>
          <w:rFonts w:hint="eastAsia"/>
          <w:color w:val="auto"/>
          <w:sz w:val="28"/>
          <w:szCs w:val="28"/>
          <w:highlight w:val="none"/>
        </w:rPr>
        <w:t xml:space="preserve">33、询问</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33.1 供应商对政府采购活动事项有疑问的，可以提出询问，采购人或者</w:t>
      </w:r>
      <w:r>
        <w:rPr>
          <w:rFonts w:hint="eastAsia"/>
          <w:color w:val="auto"/>
          <w:sz w:val="24"/>
          <w:szCs w:val="24"/>
          <w:highlight w:val="none"/>
          <w:lang w:eastAsia="zh-CN"/>
        </w:rPr>
        <w:t xml:space="preserve">采购代理机构</w:t>
      </w:r>
      <w:r>
        <w:rPr>
          <w:rFonts w:hint="eastAsia"/>
          <w:color w:val="auto"/>
          <w:sz w:val="24"/>
          <w:szCs w:val="24"/>
          <w:highlight w:val="none"/>
        </w:rPr>
        <w:t xml:space="preserve">应当在3个工作日内对投标人依法提出的询问作出答复，但答复的内容不得涉及商业秘密。供应商提出的询问超出采购人对</w:t>
      </w:r>
      <w:r>
        <w:rPr>
          <w:rFonts w:hint="eastAsia"/>
          <w:color w:val="auto"/>
          <w:sz w:val="24"/>
          <w:szCs w:val="24"/>
          <w:highlight w:val="none"/>
          <w:lang w:eastAsia="zh-CN"/>
        </w:rPr>
        <w:t xml:space="preserve">采购代理机构</w:t>
      </w:r>
      <w:r>
        <w:rPr>
          <w:rFonts w:hint="eastAsia"/>
          <w:color w:val="auto"/>
          <w:sz w:val="24"/>
          <w:szCs w:val="24"/>
          <w:highlight w:val="none"/>
        </w:rPr>
        <w:t xml:space="preserve">委托授权范围的，</w:t>
      </w:r>
      <w:r>
        <w:rPr>
          <w:rFonts w:hint="eastAsia"/>
          <w:color w:val="auto"/>
          <w:sz w:val="24"/>
          <w:szCs w:val="24"/>
          <w:highlight w:val="none"/>
          <w:lang w:eastAsia="zh-CN"/>
        </w:rPr>
        <w:t xml:space="preserve">采购代理机构</w:t>
      </w:r>
      <w:r>
        <w:rPr>
          <w:rFonts w:hint="eastAsia"/>
          <w:color w:val="auto"/>
          <w:sz w:val="24"/>
          <w:szCs w:val="24"/>
          <w:highlight w:val="none"/>
        </w:rPr>
        <w:t xml:space="preserve">应当告知其向采购人提出。</w:t>
      </w:r>
      <w:r/>
    </w:p>
    <w:p>
      <w:pPr>
        <w:pStyle w:val="1017"/>
        <w:numPr>
          <w:ilvl w:val="0"/>
          <w:numId w:val="0"/>
        </w:numPr>
        <w:jc w:val="left"/>
        <w:keepLines w:val="0"/>
        <w:pageBreakBefore w:val="0"/>
        <w:spacing w:before="0" w:after="0" w:line="360" w:lineRule="auto"/>
        <w:rPr>
          <w:color w:val="auto"/>
          <w:sz w:val="28"/>
          <w:szCs w:val="28"/>
          <w:highlight w:val="none"/>
        </w:rPr>
      </w:pPr>
      <w:r>
        <w:rPr>
          <w:rFonts w:hint="eastAsia"/>
          <w:color w:val="auto"/>
          <w:sz w:val="28"/>
          <w:szCs w:val="28"/>
          <w:highlight w:val="none"/>
        </w:rPr>
        <w:t xml:space="preserve">34、质疑提出</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34.1 提出质疑的供应商应当是参与所质疑项目采购活动的供应商。</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34.2 供应商认为采购文件、采购过程、采购结果使自己的权益受到损害的，可以在知道或者应知其权益受到损害之日（获取采购文件之日、中标公告发布之日）起七个工作日内以书面形式向采购人、</w:t>
      </w:r>
      <w:r>
        <w:rPr>
          <w:rFonts w:hint="eastAsia"/>
          <w:color w:val="auto"/>
          <w:sz w:val="24"/>
          <w:szCs w:val="24"/>
          <w:highlight w:val="none"/>
          <w:lang w:eastAsia="zh-CN"/>
        </w:rPr>
        <w:t xml:space="preserve">采购代理机构</w:t>
      </w:r>
      <w:r>
        <w:rPr>
          <w:rFonts w:hint="eastAsia"/>
          <w:color w:val="auto"/>
          <w:sz w:val="24"/>
          <w:szCs w:val="24"/>
          <w:highlight w:val="none"/>
        </w:rPr>
        <w:t xml:space="preserve">提出质疑。</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供应商应当在法定质疑期内一次性提出针对同一采购程序环节的质疑，供应商如在法定期限内对同一采购程序环节提出多次质疑的，采购人、</w:t>
      </w:r>
      <w:r>
        <w:rPr>
          <w:rFonts w:hint="eastAsia"/>
          <w:color w:val="auto"/>
          <w:sz w:val="24"/>
          <w:szCs w:val="24"/>
          <w:highlight w:val="none"/>
          <w:lang w:eastAsia="zh-CN"/>
        </w:rPr>
        <w:t xml:space="preserve">采购代理机构</w:t>
      </w:r>
      <w:r>
        <w:rPr>
          <w:rFonts w:hint="eastAsia"/>
          <w:color w:val="auto"/>
          <w:sz w:val="24"/>
          <w:szCs w:val="24"/>
          <w:highlight w:val="none"/>
        </w:rPr>
        <w:t xml:space="preserve">将只对供应商第一次质疑作出答复。</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未按照采购公告要求获取采购文件的供应商，视为未参与该项目采购活动，不具备对该采购文件提出质疑的法定权利。</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34.3 提出质疑时，必须坚持“实事求是”的原则，不能臆测。属于须由法定部门调查、侦查或先行作出相关认定的事项，质疑供应商应当依法申请具有法定职权的部门查清、认定，并将相关结果提供给采购人、</w:t>
      </w:r>
      <w:r>
        <w:rPr>
          <w:rFonts w:hint="eastAsia"/>
          <w:color w:val="auto"/>
          <w:sz w:val="24"/>
          <w:szCs w:val="24"/>
          <w:highlight w:val="none"/>
          <w:lang w:eastAsia="zh-CN"/>
        </w:rPr>
        <w:t xml:space="preserve">采购代理机构</w:t>
      </w:r>
      <w:r>
        <w:rPr>
          <w:rFonts w:hint="eastAsia"/>
          <w:color w:val="auto"/>
          <w:sz w:val="24"/>
          <w:szCs w:val="24"/>
          <w:highlight w:val="none"/>
        </w:rPr>
        <w:t xml:space="preserve">。采购人、</w:t>
      </w:r>
      <w:r>
        <w:rPr>
          <w:rFonts w:hint="eastAsia"/>
          <w:color w:val="auto"/>
          <w:sz w:val="24"/>
          <w:szCs w:val="24"/>
          <w:highlight w:val="none"/>
          <w:lang w:eastAsia="zh-CN"/>
        </w:rPr>
        <w:t xml:space="preserve">采购代理机构</w:t>
      </w:r>
      <w:r>
        <w:rPr>
          <w:rFonts w:hint="eastAsia"/>
          <w:color w:val="auto"/>
          <w:sz w:val="24"/>
          <w:szCs w:val="24"/>
          <w:highlight w:val="none"/>
        </w:rPr>
        <w:t xml:space="preserve">不具有法定调查、认定权限。</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34.4 质疑函的接收方式为供应商书面原件提交。联系部门、联系电话和通讯地址详见招标文件第一章。质疑实行实名制，不得进行虚假、恶意质疑。</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34.5 质疑函应当使用范本，详见招标文件第六章。供应商提出质疑应当提交质疑函和必要的证明材料，应当包括下列内容：</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（1）供应商的姓名或者名称、地址、邮编、联系人及联系电话；</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（2）质疑项目的名称、编号；</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（3）具体、明确的质疑事项和与质疑事项相关的请求；</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（4）事实依据；</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（5）必要的法律依据；</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（6）提出质疑的日期；</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（7）必要的证明材料；</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（8）营业执照复印件及授权委托书原件、法定代表人（单位负责人）身份证复印件、委托代理人身份证复印件。</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供应商为自然人的，应当由本人签字；供应商为法人或者其他组织的，应当由法定代表人、主要负责人，或者其委托代理人签字或者盖章，并加盖单位公章。</w:t>
      </w:r>
      <w:r/>
    </w:p>
    <w:p>
      <w:pPr>
        <w:pStyle w:val="1017"/>
        <w:numPr>
          <w:ilvl w:val="0"/>
          <w:numId w:val="0"/>
        </w:numPr>
        <w:jc w:val="left"/>
        <w:keepLines w:val="0"/>
        <w:pageBreakBefore w:val="0"/>
        <w:spacing w:before="0" w:after="0" w:line="360" w:lineRule="auto"/>
        <w:rPr>
          <w:color w:val="auto"/>
          <w:sz w:val="24"/>
          <w:szCs w:val="24"/>
          <w:highlight w:val="none"/>
        </w:rPr>
      </w:pPr>
      <w:r>
        <w:rPr>
          <w:rFonts w:hint="eastAsia"/>
          <w:color w:val="auto"/>
          <w:sz w:val="28"/>
          <w:szCs w:val="28"/>
          <w:highlight w:val="none"/>
        </w:rPr>
        <w:t xml:space="preserve">35、质疑函的受理和答复</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35.1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color w:val="auto"/>
          <w:sz w:val="24"/>
          <w:szCs w:val="24"/>
          <w:highlight w:val="none"/>
          <w:lang w:eastAsia="zh-CN"/>
        </w:rPr>
        <w:t xml:space="preserve">采购代理机构</w:t>
      </w:r>
      <w:r>
        <w:rPr>
          <w:rFonts w:hint="eastAsia"/>
          <w:color w:val="auto"/>
          <w:sz w:val="24"/>
          <w:szCs w:val="24"/>
          <w:highlight w:val="none"/>
        </w:rPr>
        <w:t xml:space="preserve">不负责搜集必要的证明材料等工作。</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35.2 对符合法定要求的质疑，采购人、</w:t>
      </w:r>
      <w:r>
        <w:rPr>
          <w:rFonts w:hint="eastAsia"/>
          <w:color w:val="auto"/>
          <w:sz w:val="24"/>
          <w:szCs w:val="24"/>
          <w:highlight w:val="none"/>
          <w:lang w:eastAsia="zh-CN"/>
        </w:rPr>
        <w:t xml:space="preserve">采购代理机构</w:t>
      </w:r>
      <w:r>
        <w:rPr>
          <w:rFonts w:hint="eastAsia"/>
          <w:color w:val="auto"/>
          <w:sz w:val="24"/>
          <w:szCs w:val="24"/>
          <w:highlight w:val="none"/>
        </w:rPr>
        <w:t xml:space="preserve">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35.3 对不符合质疑要求的，采购人、</w:t>
      </w:r>
      <w:r>
        <w:rPr>
          <w:rFonts w:hint="eastAsia"/>
          <w:color w:val="auto"/>
          <w:sz w:val="24"/>
          <w:szCs w:val="24"/>
          <w:highlight w:val="none"/>
          <w:lang w:eastAsia="zh-CN"/>
        </w:rPr>
        <w:t xml:space="preserve">采购代理机构</w:t>
      </w:r>
      <w:r>
        <w:rPr>
          <w:rFonts w:hint="eastAsia"/>
          <w:color w:val="auto"/>
          <w:sz w:val="24"/>
          <w:szCs w:val="24"/>
          <w:highlight w:val="none"/>
        </w:rPr>
        <w:t xml:space="preserve">有权要求其补充必要的证明材料，质疑供应商未在法定时间内补充必要的证明材料的，视同放弃质疑。</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35.4 以下情形的质疑依法不予受理：</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（1）内容不符合《政府采购质疑和投诉办法》第十二条规定的质疑。</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（2）超出政府采购法定期限的质疑。</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（3）以传真、电子邮件等方式递交的非原件形式的质疑。</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（4）未参与采购活动或在采购活动中自身权益未受到损害的供应商提出的质疑。</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（5）供应商组成联合体，联合体中任何一方或多方未按要求签字（盖章）、加盖公章的质疑。</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35.5 采购人、</w:t>
      </w:r>
      <w:r>
        <w:rPr>
          <w:rFonts w:hint="eastAsia"/>
          <w:color w:val="auto"/>
          <w:sz w:val="24"/>
          <w:szCs w:val="24"/>
          <w:highlight w:val="none"/>
          <w:lang w:eastAsia="zh-CN"/>
        </w:rPr>
        <w:t xml:space="preserve">采购代理机构</w:t>
      </w:r>
      <w:r>
        <w:rPr>
          <w:rFonts w:hint="eastAsia"/>
          <w:color w:val="auto"/>
          <w:sz w:val="24"/>
          <w:szCs w:val="24"/>
          <w:highlight w:val="none"/>
        </w:rPr>
        <w:t xml:space="preserve">依法受理的质疑，将按照政府采购有关规定，在法定期限内作出答复。</w:t>
      </w:r>
      <w:r/>
    </w:p>
    <w:p>
      <w:pPr>
        <w:pStyle w:val="1017"/>
        <w:numPr>
          <w:ilvl w:val="0"/>
          <w:numId w:val="0"/>
        </w:numPr>
        <w:jc w:val="left"/>
        <w:keepLines w:val="0"/>
        <w:pageBreakBefore w:val="0"/>
        <w:spacing w:before="0" w:after="0" w:line="360" w:lineRule="auto"/>
        <w:rPr>
          <w:color w:val="auto"/>
          <w:sz w:val="28"/>
          <w:szCs w:val="28"/>
          <w:highlight w:val="none"/>
        </w:rPr>
      </w:pPr>
      <w:r>
        <w:rPr>
          <w:rFonts w:hint="eastAsia"/>
          <w:color w:val="auto"/>
          <w:sz w:val="28"/>
          <w:szCs w:val="28"/>
          <w:highlight w:val="none"/>
        </w:rPr>
        <w:t xml:space="preserve">36、质疑处理</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36.1 质疑供应商未按照法定程序进行质疑投诉的，视为一般失信行为。</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36.2 质疑供应商不配合或者采取不正当手段干扰政府采购质疑、投诉处理工作的，视为一般失信行为。</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36.3 质疑供应商投诉受理期间，就同一事项多头举报，干扰财政部门投诉处理的，视为一般失信行为。</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36.4 质疑供应商在全国范围12个月内三次以上质疑查无实据的，视为一般失信行为。</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36.5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36.6 质疑供应商在全国范围12个月内三次以上投诉查无实据的，视为严重失信行为。</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36.7 未尽事宜，依照有关法律、法规执行。</w:t>
      </w:r>
      <w:r/>
    </w:p>
    <w:p>
      <w:pPr>
        <w:pStyle w:val="1016"/>
        <w:numPr>
          <w:ilvl w:val="0"/>
          <w:numId w:val="0"/>
        </w:numPr>
        <w:ind w:left="425"/>
        <w:keepLines w:val="0"/>
        <w:pageBreakBefore w:val="0"/>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九、政府采购政策功能</w:t>
      </w:r>
      <w:r/>
    </w:p>
    <w:p>
      <w:pPr>
        <w:pStyle w:val="1017"/>
        <w:numPr>
          <w:ilvl w:val="0"/>
          <w:numId w:val="0"/>
        </w:numPr>
        <w:jc w:val="left"/>
        <w:keepLines w:val="0"/>
        <w:pageBreakBefore w:val="0"/>
        <w:spacing w:before="0" w:after="0" w:line="360" w:lineRule="auto"/>
        <w:rPr>
          <w:color w:val="auto"/>
          <w:sz w:val="28"/>
          <w:szCs w:val="28"/>
          <w:highlight w:val="none"/>
        </w:rPr>
      </w:pPr>
      <w:r>
        <w:rPr>
          <w:rFonts w:hint="eastAsia"/>
          <w:color w:val="auto"/>
          <w:sz w:val="28"/>
          <w:szCs w:val="28"/>
          <w:highlight w:val="none"/>
        </w:rPr>
        <w:t xml:space="preserve">37、促进中小企业发展</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37.1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37.2 投标人提供的货物全部由小型企业、微型企业、残疾人福利性单位、监狱企业制造的，</w:t>
      </w:r>
      <w:r>
        <w:rPr>
          <w:rFonts w:hint="eastAsia"/>
          <w:b/>
          <w:bCs/>
          <w:color w:val="auto"/>
          <w:sz w:val="24"/>
          <w:szCs w:val="24"/>
          <w:highlight w:val="none"/>
        </w:rPr>
        <w:t xml:space="preserve">对其报价给予10%的扣除</w:t>
      </w:r>
      <w:r>
        <w:rPr>
          <w:rFonts w:hint="eastAsia"/>
          <w:color w:val="auto"/>
          <w:sz w:val="24"/>
          <w:szCs w:val="24"/>
          <w:highlight w:val="none"/>
        </w:rPr>
        <w:t xml:space="preserve">，用扣除后的价格参与评审。提供的货物既有小微型企业制造，也有大中型企业制造的，不享受该扶持政策。</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如本项目同意联合体投标或同意分包履行合同，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4%的价格扣除，用扣除后的价格参与评审。联合体各方均为小型、微型企业（残疾人福利单位、监狱企业）的，联合体视同小型、微型企业。</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37.3 参加本项目政府采购活动的供应商享受价格评审优惠的应当提供的材料： </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（1）投标人提供的货物全部由小型企业、微型企业制造的，提供《中小企业声明函》（第六章 投标文件格式）。</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37.4 残疾人福利单位、监狱企业属于小型、微型企业的，不重复享受政策。</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37.5 享受扶持政策获得政府采购合同的，小微型企业不得将合同分包给大中型企业，中型企业不得将合同分包给大型企业。</w:t>
      </w:r>
      <w:r/>
    </w:p>
    <w:p>
      <w:pPr>
        <w:pStyle w:val="1017"/>
        <w:numPr>
          <w:ilvl w:val="0"/>
          <w:numId w:val="0"/>
        </w:numPr>
        <w:jc w:val="left"/>
        <w:keepLines w:val="0"/>
        <w:pageBreakBefore w:val="0"/>
        <w:spacing w:before="0" w:after="0" w:line="360" w:lineRule="auto"/>
        <w:rPr>
          <w:color w:val="auto"/>
          <w:sz w:val="28"/>
          <w:szCs w:val="28"/>
          <w:highlight w:val="none"/>
        </w:rPr>
      </w:pPr>
      <w:r>
        <w:rPr>
          <w:rFonts w:hint="eastAsia"/>
          <w:color w:val="auto"/>
          <w:sz w:val="28"/>
          <w:szCs w:val="28"/>
          <w:highlight w:val="none"/>
        </w:rPr>
        <w:t xml:space="preserve">38、支持绿色发展</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38.1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38.2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jc w:val="left"/>
        <w:keepLines w:val="0"/>
        <w:pageBreakBefore w:val="0"/>
        <w:spacing w:line="360" w:lineRule="auto"/>
        <w:rPr>
          <w:color w:val="auto"/>
          <w:sz w:val="24"/>
          <w:szCs w:val="24"/>
          <w:highlight w:val="none"/>
        </w:rPr>
      </w:pPr>
      <w:r>
        <w:rPr>
          <w:color w:val="auto"/>
          <w:sz w:val="24"/>
          <w:szCs w:val="24"/>
          <w:highlight w:val="none"/>
        </w:rPr>
        <w:t xml:space="preserve">38</w:t>
      </w:r>
      <w:r>
        <w:rPr>
          <w:rFonts w:hint="eastAsia"/>
          <w:color w:val="auto"/>
          <w:sz w:val="24"/>
          <w:szCs w:val="24"/>
          <w:highlight w:val="none"/>
        </w:rPr>
        <w:t xml:space="preserve">.3落实挥发性有机化合物（VOCs）治理要求，政府采购项目中涉及涂料、胶黏剂、油墨、清洗剂等挥发性有机物产品的，属于强制性标准的，投标人须执行国家和我省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pStyle w:val="1017"/>
        <w:numPr>
          <w:ilvl w:val="0"/>
          <w:numId w:val="0"/>
        </w:numPr>
        <w:jc w:val="left"/>
        <w:keepLines w:val="0"/>
        <w:pageBreakBefore w:val="0"/>
        <w:spacing w:before="0" w:after="0" w:line="360" w:lineRule="auto"/>
        <w:rPr>
          <w:color w:val="auto"/>
          <w:sz w:val="28"/>
          <w:szCs w:val="28"/>
          <w:highlight w:val="none"/>
        </w:rPr>
      </w:pPr>
      <w:r>
        <w:rPr>
          <w:rFonts w:hint="eastAsia"/>
          <w:color w:val="auto"/>
          <w:sz w:val="28"/>
          <w:szCs w:val="28"/>
          <w:highlight w:val="none"/>
        </w:rPr>
        <w:t xml:space="preserve">39、政府采购需求标准</w:t>
      </w:r>
      <w:r/>
    </w:p>
    <w:p>
      <w:pPr>
        <w:ind w:firstLine="480"/>
        <w:jc w:val="left"/>
        <w:keepLines w:val="0"/>
        <w:pageBreakBefore w:val="0"/>
        <w:spacing w:line="360" w:lineRule="auto"/>
        <w:rPr>
          <w:color w:val="auto"/>
          <w:sz w:val="24"/>
          <w:szCs w:val="24"/>
          <w:highlight w:val="none"/>
        </w:rPr>
      </w:pPr>
      <w:r>
        <w:rPr>
          <w:rFonts w:hint="eastAsia"/>
          <w:color w:val="auto"/>
          <w:sz w:val="24"/>
          <w:szCs w:val="24"/>
          <w:highlight w:val="none"/>
        </w:rPr>
        <w:t xml:space="preserve">39.1 本项目执行《绿色数据中心政府采购需求</w:t>
      </w:r>
      <w:r>
        <w:rPr>
          <w:rFonts w:hint="eastAsia"/>
          <w:color w:val="auto"/>
          <w:sz w:val="24"/>
          <w:szCs w:val="24"/>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keepLines w:val="0"/>
        <w:pageBreakBefore w:val="0"/>
        <w:spacing w:line="360" w:lineRule="auto"/>
        <w:widowControl/>
        <w:rPr>
          <w:color w:val="auto"/>
          <w:sz w:val="24"/>
          <w:szCs w:val="24"/>
          <w:highlight w:val="none"/>
        </w:rPr>
      </w:pPr>
      <w:r>
        <w:rPr>
          <w:color w:val="auto"/>
          <w:sz w:val="24"/>
          <w:szCs w:val="24"/>
          <w:highlight w:val="none"/>
        </w:rPr>
        <w:br w:type="page" w:clear="all"/>
      </w:r>
      <w:r/>
    </w:p>
    <w:p>
      <w:pPr>
        <w:numPr>
          <w:ilvl w:val="0"/>
          <w:numId w:val="0"/>
        </w:numPr>
        <w:jc w:val="both"/>
        <w:spacing w:line="360" w:lineRule="auto"/>
        <w:widowControl w:val="off"/>
        <w:rPr>
          <w:color w:val="auto"/>
          <w:highlight w:val="none"/>
        </w:rPr>
      </w:pPr>
      <w:r>
        <w:rPr>
          <w:color w:val="auto"/>
          <w:highlight w:val="none"/>
        </w:rPr>
      </w:r>
      <w:r/>
    </w:p>
    <w:p>
      <w:pPr>
        <w:pStyle w:val="1015"/>
        <w:numPr>
          <w:ilvl w:val="0"/>
          <w:numId w:val="0"/>
        </w:numPr>
        <w:rPr>
          <w:color w:val="auto"/>
          <w:highlight w:val="none"/>
        </w:rPr>
      </w:pPr>
      <w:r/>
      <w:bookmarkStart w:id="9" w:name="_Toc139967211"/>
      <w:r/>
      <w:bookmarkStart w:id="10" w:name="_Toc139966427"/>
      <w:r/>
      <w:bookmarkStart w:id="11" w:name="_Toc513622228"/>
      <w:r/>
      <w:bookmarkStart w:id="12" w:name="_Toc19780"/>
      <w:r>
        <w:rPr>
          <w:rFonts w:hint="eastAsia" w:hAnsi="宋体"/>
          <w:b w:val="0"/>
          <w:color w:val="auto"/>
          <w:highlight w:val="none"/>
        </w:rPr>
        <w:t xml:space="preserve">第三章  政府采购合同格式</w:t>
      </w:r>
      <w:bookmarkEnd w:id="9"/>
      <w:r/>
      <w:bookmarkEnd w:id="10"/>
      <w:r/>
      <w:bookmarkEnd w:id="11"/>
      <w:r/>
      <w:bookmarkEnd w:id="12"/>
      <w:r/>
      <w:r/>
    </w:p>
    <w:p>
      <w:pPr>
        <w:ind w:firstLine="880"/>
        <w:rPr>
          <w:rFonts w:ascii="宋体" w:hAnsi="宋体"/>
          <w:color w:val="auto"/>
          <w:sz w:val="44"/>
          <w:highlight w:val="none"/>
        </w:rPr>
      </w:pPr>
      <w:r>
        <w:rPr>
          <w:rFonts w:ascii="宋体" w:hAnsi="宋体"/>
          <w:color w:val="auto"/>
          <w:sz w:val="44"/>
          <w:highlight w:val="none"/>
        </w:rPr>
      </w:r>
      <w:r/>
    </w:p>
    <w:p>
      <w:pPr>
        <w:ind w:firstLine="2078"/>
        <w:rPr>
          <w:rFonts w:ascii="宋体" w:hAnsi="宋体"/>
          <w:b/>
          <w:bCs/>
          <w:color w:val="auto"/>
          <w:sz w:val="52"/>
          <w:highlight w:val="none"/>
        </w:rPr>
      </w:pPr>
      <w:r>
        <w:rPr>
          <w:rFonts w:hint="eastAsia" w:ascii="宋体" w:hAnsi="宋体"/>
          <w:b/>
          <w:bCs/>
          <w:color w:val="auto"/>
          <w:sz w:val="52"/>
          <w:highlight w:val="none"/>
        </w:rPr>
        <w:t xml:space="preserve">连 云 港 市 政 府 采 购</w:t>
      </w:r>
      <w:r/>
    </w:p>
    <w:p>
      <w:pPr>
        <w:ind w:firstLine="420"/>
        <w:rPr>
          <w:rFonts w:ascii="宋体" w:hAnsi="宋体"/>
          <w:color w:val="auto"/>
          <w:highlight w:val="none"/>
        </w:rPr>
      </w:pPr>
      <w:r>
        <w:rPr>
          <w:rFonts w:ascii="宋体" w:hAnsi="宋体"/>
          <w:color w:val="auto"/>
          <w:highlight w:val="none"/>
        </w:rPr>
      </w:r>
      <w:r/>
    </w:p>
    <w:p>
      <w:pPr>
        <w:ind w:firstLine="883"/>
        <w:jc w:val="center"/>
        <w:rPr>
          <w:rFonts w:ascii="宋体" w:hAnsi="宋体"/>
          <w:b/>
          <w:bCs/>
          <w:color w:val="auto"/>
          <w:sz w:val="44"/>
          <w:highlight w:val="none"/>
        </w:rPr>
      </w:pPr>
      <w:r>
        <w:rPr>
          <w:rFonts w:hint="eastAsia" w:ascii="宋体" w:hAnsi="宋体"/>
          <w:b/>
          <w:bCs/>
          <w:color w:val="auto"/>
          <w:sz w:val="44"/>
          <w:highlight w:val="none"/>
          <w:u w:val="single"/>
        </w:rPr>
        <w:t xml:space="preserve">                    </w:t>
      </w:r>
      <w:r>
        <w:rPr>
          <w:rFonts w:hint="eastAsia" w:ascii="宋体" w:hAnsi="宋体"/>
          <w:b/>
          <w:bCs/>
          <w:color w:val="auto"/>
          <w:sz w:val="44"/>
          <w:highlight w:val="none"/>
        </w:rPr>
        <w:t xml:space="preserve">合同</w:t>
      </w:r>
      <w:r/>
    </w:p>
    <w:p>
      <w:pPr>
        <w:ind w:firstLine="420"/>
        <w:rPr>
          <w:rFonts w:ascii="宋体" w:hAnsi="宋体"/>
          <w:color w:val="auto"/>
          <w:highlight w:val="none"/>
        </w:rPr>
      </w:pPr>
      <w:r>
        <w:rPr>
          <w:rFonts w:ascii="宋体" w:hAnsi="宋体"/>
          <w:color w:val="auto"/>
          <w:highlight w:val="none"/>
        </w:rPr>
      </w:r>
      <w:r/>
    </w:p>
    <w:p>
      <w:pPr>
        <w:ind w:firstLine="3507"/>
        <w:rPr>
          <w:rFonts w:ascii="宋体" w:hAnsi="宋体"/>
          <w:b/>
          <w:bCs/>
          <w:color w:val="auto"/>
          <w:sz w:val="44"/>
          <w:highlight w:val="none"/>
        </w:rPr>
      </w:pPr>
      <w:r>
        <w:rPr>
          <w:rFonts w:ascii="宋体" w:hAnsi="宋体"/>
          <w:b/>
          <w:bCs/>
          <w:color w:val="auto"/>
          <w:sz w:val="44"/>
          <w:highlight w:val="none"/>
        </w:rPr>
      </w:r>
      <w:r/>
    </w:p>
    <w:p>
      <w:pPr>
        <w:ind w:firstLine="3507"/>
        <w:rPr>
          <w:rFonts w:ascii="宋体" w:hAnsi="宋体"/>
          <w:b/>
          <w:bCs/>
          <w:color w:val="auto"/>
          <w:sz w:val="44"/>
          <w:highlight w:val="none"/>
        </w:rPr>
      </w:pPr>
      <w:r>
        <w:rPr>
          <w:rFonts w:ascii="宋体" w:hAnsi="宋体"/>
          <w:b/>
          <w:bCs/>
          <w:color w:val="auto"/>
          <w:sz w:val="44"/>
          <w:highlight w:val="none"/>
        </w:rPr>
      </w:r>
      <w:r/>
    </w:p>
    <w:p>
      <w:pPr>
        <w:ind w:firstLine="3507"/>
        <w:rPr>
          <w:rFonts w:ascii="宋体" w:hAnsi="宋体"/>
          <w:b/>
          <w:bCs/>
          <w:color w:val="auto"/>
          <w:sz w:val="44"/>
          <w:highlight w:val="none"/>
        </w:rPr>
      </w:pPr>
      <w:r>
        <w:rPr>
          <w:rFonts w:ascii="宋体" w:hAnsi="宋体"/>
          <w:b/>
          <w:bCs/>
          <w:color w:val="auto"/>
          <w:sz w:val="44"/>
          <w:highlight w:val="none"/>
        </w:rPr>
      </w:r>
      <w:r/>
    </w:p>
    <w:p>
      <w:pPr>
        <w:ind w:firstLine="1802"/>
        <w:rPr>
          <w:rFonts w:ascii="宋体" w:hAnsi="宋体"/>
          <w:b/>
          <w:bCs/>
          <w:color w:val="auto"/>
          <w:sz w:val="44"/>
          <w:szCs w:val="44"/>
          <w:highlight w:val="none"/>
        </w:rPr>
      </w:pPr>
      <w:r>
        <w:rPr>
          <w:rFonts w:hint="eastAsia" w:ascii="宋体" w:hAnsi="宋体"/>
          <w:b/>
          <w:bCs/>
          <w:color w:val="auto"/>
          <w:sz w:val="44"/>
          <w:szCs w:val="44"/>
          <w:highlight w:val="none"/>
        </w:rPr>
        <w:t xml:space="preserve">合同编号：</w:t>
      </w:r>
      <w:r/>
    </w:p>
    <w:p>
      <w:pPr>
        <w:ind w:firstLine="880"/>
        <w:rPr>
          <w:rFonts w:ascii="宋体" w:hAnsi="宋体"/>
          <w:color w:val="auto"/>
          <w:sz w:val="44"/>
          <w:highlight w:val="none"/>
        </w:rPr>
      </w:pPr>
      <w:r>
        <w:rPr>
          <w:rFonts w:ascii="宋体" w:hAnsi="宋体"/>
          <w:color w:val="auto"/>
          <w:sz w:val="44"/>
          <w:highlight w:val="none"/>
        </w:rPr>
      </w:r>
      <w:r/>
    </w:p>
    <w:p>
      <w:pPr>
        <w:ind w:firstLine="880"/>
        <w:rPr>
          <w:rFonts w:ascii="宋体" w:hAnsi="宋体"/>
          <w:color w:val="auto"/>
          <w:sz w:val="44"/>
          <w:highlight w:val="none"/>
        </w:rPr>
      </w:pPr>
      <w:r>
        <w:rPr>
          <w:rFonts w:ascii="宋体" w:hAnsi="宋体"/>
          <w:color w:val="auto"/>
          <w:sz w:val="44"/>
          <w:highlight w:val="none"/>
        </w:rPr>
      </w:r>
      <w:r/>
    </w:p>
    <w:p>
      <w:pPr>
        <w:ind w:firstLine="880"/>
        <w:rPr>
          <w:rFonts w:ascii="宋体" w:hAnsi="宋体"/>
          <w:color w:val="auto"/>
          <w:sz w:val="44"/>
          <w:highlight w:val="none"/>
        </w:rPr>
      </w:pPr>
      <w:r>
        <w:rPr>
          <w:rFonts w:ascii="宋体" w:hAnsi="宋体"/>
          <w:color w:val="auto"/>
          <w:sz w:val="44"/>
          <w:highlight w:val="none"/>
        </w:rPr>
      </w:r>
      <w:r/>
    </w:p>
    <w:p>
      <w:pPr>
        <w:ind w:firstLine="1758"/>
        <w:rPr>
          <w:rFonts w:ascii="宋体" w:hAnsi="宋体"/>
          <w:b/>
          <w:bCs/>
          <w:color w:val="auto"/>
          <w:sz w:val="44"/>
          <w:highlight w:val="none"/>
        </w:rPr>
      </w:pPr>
      <w:r>
        <w:rPr>
          <w:rFonts w:hint="eastAsia" w:ascii="宋体" w:hAnsi="宋体"/>
          <w:b/>
          <w:bCs/>
          <w:color w:val="auto"/>
          <w:sz w:val="44"/>
          <w:highlight w:val="none"/>
        </w:rPr>
        <w:t xml:space="preserve">采购人：</w:t>
      </w:r>
      <w:r/>
    </w:p>
    <w:p>
      <w:pPr>
        <w:ind w:firstLine="1758"/>
        <w:rPr>
          <w:rFonts w:ascii="宋体" w:hAnsi="宋体"/>
          <w:b/>
          <w:bCs/>
          <w:color w:val="auto"/>
          <w:sz w:val="44"/>
          <w:highlight w:val="none"/>
        </w:rPr>
      </w:pPr>
      <w:r>
        <w:rPr>
          <w:rFonts w:hint="eastAsia" w:ascii="宋体" w:hAnsi="宋体"/>
          <w:b/>
          <w:bCs/>
          <w:color w:val="auto"/>
          <w:sz w:val="44"/>
          <w:highlight w:val="none"/>
        </w:rPr>
        <w:t xml:space="preserve">中标人：</w:t>
      </w:r>
      <w:r/>
    </w:p>
    <w:p>
      <w:pPr>
        <w:ind w:firstLine="420"/>
        <w:rPr>
          <w:rFonts w:ascii="宋体" w:hAnsi="宋体"/>
          <w:color w:val="auto"/>
          <w:highlight w:val="none"/>
        </w:rPr>
      </w:pPr>
      <w:r>
        <w:rPr>
          <w:rFonts w:ascii="宋体" w:hAnsi="宋体"/>
          <w:color w:val="auto"/>
          <w:highlight w:val="none"/>
        </w:rPr>
      </w:r>
      <w:r/>
    </w:p>
    <w:p>
      <w:pPr>
        <w:rPr>
          <w:rFonts w:hint="eastAsia" w:ascii="宋体" w:hAnsi="宋体"/>
          <w:b/>
          <w:bCs/>
          <w:color w:val="auto"/>
          <w:sz w:val="24"/>
          <w:highlight w:val="none"/>
        </w:rPr>
      </w:pPr>
      <w:r>
        <w:rPr>
          <w:rFonts w:hint="eastAsia" w:ascii="宋体" w:hAnsi="宋体"/>
          <w:b/>
          <w:bCs/>
          <w:color w:val="auto"/>
          <w:sz w:val="24"/>
          <w:highlight w:val="none"/>
        </w:rPr>
        <w:br w:type="page" w:clear="all"/>
      </w:r>
      <w:r/>
    </w:p>
    <w:p>
      <w:pPr>
        <w:ind w:firstLine="420"/>
        <w:jc w:val="left"/>
        <w:spacing w:line="560" w:lineRule="exact"/>
        <w:rPr>
          <w:rFonts w:hint="eastAsia" w:ascii="宋体" w:hAnsi="宋体"/>
          <w:b/>
          <w:bCs/>
          <w:color w:val="auto"/>
          <w:sz w:val="24"/>
          <w:highlight w:val="none"/>
        </w:rPr>
      </w:pPr>
      <w:r>
        <w:rPr>
          <w:rFonts w:hint="eastAsia" w:ascii="宋体" w:hAnsi="宋体"/>
          <w:b/>
          <w:bCs/>
          <w:color w:val="auto"/>
          <w:sz w:val="24"/>
          <w:highlight w:val="none"/>
        </w:rPr>
        <w:t xml:space="preserve">以下为中标后签订本项目合同的通用条款，中标供应商不得提出实质性的修改，关于专用条款将由采购人与中标供应商结合本项目具体情况协商后签订。</w:t>
      </w:r>
      <w:r/>
    </w:p>
    <w:p>
      <w:pPr>
        <w:pStyle w:val="845"/>
        <w:rPr>
          <w:rFonts w:hint="eastAsia"/>
          <w:color w:val="auto"/>
          <w:highlight w:val="none"/>
        </w:rPr>
      </w:pPr>
      <w:r>
        <w:rPr>
          <w:rFonts w:hint="eastAsia"/>
          <w:color w:val="auto"/>
          <w:highlight w:val="none"/>
        </w:rPr>
      </w:r>
      <w:r/>
    </w:p>
    <w:p>
      <w:pPr>
        <w:ind w:firstLine="0"/>
        <w:jc w:val="center"/>
        <w:spacing w:line="560" w:lineRule="exact"/>
        <w:rPr>
          <w:rFonts w:ascii="黑体" w:hAnsi="黑体" w:eastAsia="黑体"/>
          <w:bCs/>
          <w:color w:val="auto"/>
          <w:highlight w:val="none"/>
        </w:rPr>
      </w:pPr>
      <w:r>
        <w:rPr>
          <w:rFonts w:hint="eastAsia"/>
          <w:b/>
          <w:color w:val="auto"/>
          <w:sz w:val="32"/>
          <w:szCs w:val="32"/>
          <w:highlight w:val="none"/>
        </w:rPr>
        <w:t xml:space="preserve">连云港市政府采购合同</w:t>
      </w:r>
      <w:r/>
    </w:p>
    <w:p>
      <w:pPr>
        <w:pStyle w:val="1035"/>
        <w:ind w:firstLine="643"/>
        <w:jc w:val="center"/>
        <w:rPr>
          <w:rFonts w:hAnsi="宋体"/>
          <w:b/>
          <w:color w:val="auto"/>
          <w:sz w:val="32"/>
          <w:highlight w:val="none"/>
        </w:rPr>
      </w:pPr>
      <w:r>
        <w:rPr>
          <w:rFonts w:hAnsi="宋体"/>
          <w:b/>
          <w:color w:val="auto"/>
          <w:sz w:val="32"/>
          <w:highlight w:val="none"/>
        </w:rPr>
      </w:r>
      <w:r/>
    </w:p>
    <w:p>
      <w:pPr>
        <w:ind w:firstLine="480"/>
        <w:rPr>
          <w:rFonts w:hint="eastAsia" w:ascii="宋体" w:hAnsi="宋体"/>
          <w:color w:val="auto"/>
          <w:sz w:val="24"/>
          <w:highlight w:val="none"/>
        </w:rPr>
      </w:pPr>
      <w:r>
        <w:rPr>
          <w:rFonts w:hint="eastAsia" w:ascii="宋体" w:hAnsi="宋体"/>
          <w:color w:val="auto"/>
          <w:sz w:val="24"/>
          <w:highlight w:val="none"/>
        </w:rPr>
        <w:t xml:space="preserve">甲方：【采购单位】</w:t>
      </w:r>
      <w:r/>
    </w:p>
    <w:p>
      <w:pPr>
        <w:ind w:firstLine="480"/>
        <w:rPr>
          <w:rFonts w:hint="eastAsia" w:ascii="宋体" w:hAnsi="宋体"/>
          <w:color w:val="auto"/>
          <w:sz w:val="24"/>
          <w:highlight w:val="none"/>
        </w:rPr>
      </w:pPr>
      <w:r>
        <w:rPr>
          <w:rFonts w:hint="eastAsia" w:ascii="宋体" w:hAnsi="宋体"/>
          <w:color w:val="auto"/>
          <w:sz w:val="24"/>
          <w:highlight w:val="none"/>
        </w:rPr>
        <w:t xml:space="preserve">乙方：</w:t>
      </w:r>
      <w:r/>
    </w:p>
    <w:p>
      <w:pPr>
        <w:ind w:firstLine="480"/>
        <w:rPr>
          <w:rFonts w:hint="eastAsia" w:ascii="宋体" w:hAnsi="宋体"/>
          <w:color w:val="auto"/>
          <w:sz w:val="24"/>
          <w:highlight w:val="none"/>
        </w:rPr>
      </w:pPr>
      <w:r>
        <w:rPr>
          <w:rFonts w:hint="eastAsia" w:ascii="宋体" w:hAnsi="宋体"/>
          <w:color w:val="auto"/>
          <w:sz w:val="24"/>
          <w:highlight w:val="none"/>
        </w:rPr>
        <w:t xml:space="preserve">见证方：</w:t>
      </w:r>
      <w:r/>
    </w:p>
    <w:p>
      <w:pPr>
        <w:pStyle w:val="1110"/>
        <w:ind w:firstLine="420"/>
        <w:rPr>
          <w:color w:val="auto"/>
          <w:highlight w:val="none"/>
        </w:rPr>
      </w:pPr>
      <w:r>
        <w:rPr>
          <w:color w:val="auto"/>
          <w:highlight w:val="none"/>
        </w:rPr>
      </w:r>
      <w:r/>
    </w:p>
    <w:p>
      <w:pPr>
        <w:ind w:firstLine="480"/>
        <w:rPr>
          <w:rFonts w:ascii="宋体" w:hAnsi="宋体"/>
          <w:b/>
          <w:color w:val="auto"/>
          <w:sz w:val="24"/>
          <w:highlight w:val="none"/>
        </w:rPr>
      </w:pPr>
      <w:r>
        <w:rPr>
          <w:rFonts w:hint="eastAsia" w:ascii="宋体" w:hAnsi="宋体"/>
          <w:color w:val="auto"/>
          <w:sz w:val="24"/>
          <w:highlight w:val="none"/>
        </w:rPr>
        <w:t xml:space="preserve">甲、乙双方根据</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w:t>
      </w:r>
      <w:r>
        <w:rPr>
          <w:rFonts w:ascii="宋体" w:hAnsi="宋体"/>
          <w:color w:val="auto"/>
          <w:sz w:val="24"/>
          <w:highlight w:val="none"/>
          <w:u w:val="single"/>
        </w:rPr>
        <w:t xml:space="preserve">【标段名称】</w:t>
      </w:r>
      <w:r>
        <w:rPr>
          <w:rFonts w:ascii="宋体" w:hAnsi="宋体"/>
          <w:color w:val="auto"/>
          <w:sz w:val="24"/>
          <w:highlight w:val="none"/>
        </w:rPr>
        <w:t xml:space="preserve">项目（标段编号：</w:t>
      </w:r>
      <w:r>
        <w:rPr>
          <w:rFonts w:ascii="宋体" w:hAnsi="宋体"/>
          <w:color w:val="auto"/>
          <w:sz w:val="24"/>
          <w:highlight w:val="none"/>
          <w:u w:val="single"/>
        </w:rPr>
        <w:t xml:space="preserve">【标段编号】</w:t>
      </w:r>
      <w:r>
        <w:rPr>
          <w:rFonts w:ascii="宋体" w:hAnsi="宋体"/>
          <w:color w:val="auto"/>
          <w:sz w:val="24"/>
          <w:highlight w:val="none"/>
        </w:rPr>
        <w:t xml:space="preserve">）</w:t>
      </w:r>
      <w:r>
        <w:rPr>
          <w:rFonts w:hint="eastAsia" w:ascii="宋体" w:hAnsi="宋体"/>
          <w:color w:val="auto"/>
          <w:sz w:val="24"/>
          <w:highlight w:val="none"/>
        </w:rPr>
        <w:t xml:space="preserve">的采购结果</w:t>
      </w:r>
      <w:r>
        <w:rPr>
          <w:rFonts w:ascii="宋体" w:hAnsi="宋体"/>
          <w:color w:val="auto"/>
          <w:sz w:val="24"/>
          <w:highlight w:val="none"/>
        </w:rPr>
        <w:t xml:space="preserve">，签订本合同。</w:t>
      </w:r>
      <w:r/>
    </w:p>
    <w:p>
      <w:pPr>
        <w:pStyle w:val="1035"/>
        <w:ind w:firstLine="482"/>
        <w:rPr>
          <w:rFonts w:hAnsi="宋体"/>
          <w:b/>
          <w:color w:val="auto"/>
          <w:sz w:val="24"/>
          <w:szCs w:val="24"/>
          <w:highlight w:val="none"/>
        </w:rPr>
      </w:pPr>
      <w:r>
        <w:rPr>
          <w:rFonts w:hAnsi="宋体"/>
          <w:b/>
          <w:color w:val="auto"/>
          <w:sz w:val="24"/>
          <w:szCs w:val="24"/>
          <w:highlight w:val="none"/>
        </w:rPr>
      </w:r>
      <w:r/>
    </w:p>
    <w:p>
      <w:pPr>
        <w:ind w:firstLine="482"/>
        <w:rPr>
          <w:b/>
          <w:bCs/>
          <w:color w:val="auto"/>
          <w:sz w:val="24"/>
          <w:highlight w:val="none"/>
        </w:rPr>
      </w:pPr>
      <w:r>
        <w:rPr>
          <w:rFonts w:hint="eastAsia"/>
          <w:b/>
          <w:bCs/>
          <w:color w:val="auto"/>
          <w:sz w:val="24"/>
          <w:highlight w:val="none"/>
        </w:rPr>
        <w:t xml:space="preserve">一、货物（标的）内容</w:t>
      </w:r>
      <w:r/>
    </w:p>
    <w:p>
      <w:pPr>
        <w:ind w:firstLine="480"/>
        <w:rPr>
          <w:rFonts w:hint="eastAsia" w:ascii="宋体" w:hAnsi="宋体"/>
          <w:color w:val="auto"/>
          <w:sz w:val="24"/>
          <w:highlight w:val="none"/>
        </w:rPr>
      </w:pPr>
      <w:r>
        <w:rPr>
          <w:rFonts w:hint="eastAsia"/>
          <w:color w:val="auto"/>
          <w:sz w:val="24"/>
          <w:highlight w:val="none"/>
        </w:rPr>
        <w:t xml:space="preserve">1.1 货物（标的）名称：</w:t>
      </w:r>
      <w:r>
        <w:rPr>
          <w:rFonts w:ascii="宋体" w:hAnsi="宋体"/>
          <w:color w:val="auto"/>
          <w:sz w:val="24"/>
          <w:highlight w:val="none"/>
        </w:rPr>
        <w:t xml:space="preserve">_________。</w:t>
      </w:r>
      <w:r/>
    </w:p>
    <w:p>
      <w:pPr>
        <w:ind w:firstLine="480"/>
        <w:rPr>
          <w:rFonts w:hint="eastAsia" w:ascii="宋体" w:hAnsi="宋体"/>
          <w:color w:val="auto"/>
          <w:sz w:val="24"/>
          <w:highlight w:val="none"/>
        </w:rPr>
      </w:pPr>
      <w:r>
        <w:rPr>
          <w:rFonts w:hint="eastAsia"/>
          <w:color w:val="auto"/>
          <w:sz w:val="24"/>
          <w:highlight w:val="none"/>
        </w:rPr>
        <w:t xml:space="preserve">1.2 型号规格：</w:t>
      </w:r>
      <w:r>
        <w:rPr>
          <w:rFonts w:ascii="宋体" w:hAnsi="宋体"/>
          <w:color w:val="auto"/>
          <w:sz w:val="24"/>
          <w:highlight w:val="none"/>
        </w:rPr>
        <w:t xml:space="preserve">_________。</w:t>
      </w:r>
      <w:r/>
    </w:p>
    <w:p>
      <w:pPr>
        <w:ind w:firstLine="480"/>
        <w:rPr>
          <w:rFonts w:hint="eastAsia" w:ascii="宋体" w:hAnsi="宋体"/>
          <w:color w:val="auto"/>
          <w:sz w:val="24"/>
          <w:highlight w:val="none"/>
        </w:rPr>
      </w:pPr>
      <w:r>
        <w:rPr>
          <w:rFonts w:hint="eastAsia"/>
          <w:color w:val="auto"/>
          <w:sz w:val="24"/>
          <w:highlight w:val="none"/>
        </w:rPr>
        <w:t xml:space="preserve">1.3 技术参数：</w:t>
      </w:r>
      <w:r>
        <w:rPr>
          <w:rFonts w:ascii="宋体" w:hAnsi="宋体"/>
          <w:color w:val="auto"/>
          <w:sz w:val="24"/>
          <w:highlight w:val="none"/>
        </w:rPr>
        <w:t xml:space="preserve">_________。</w:t>
      </w:r>
      <w:r/>
    </w:p>
    <w:p>
      <w:pPr>
        <w:ind w:firstLine="480"/>
        <w:rPr>
          <w:rFonts w:hint="eastAsia" w:ascii="宋体" w:hAnsi="宋体"/>
          <w:color w:val="auto"/>
          <w:sz w:val="24"/>
          <w:highlight w:val="none"/>
        </w:rPr>
      </w:pPr>
      <w:r>
        <w:rPr>
          <w:rFonts w:hint="eastAsia"/>
          <w:color w:val="auto"/>
          <w:sz w:val="24"/>
          <w:highlight w:val="none"/>
        </w:rPr>
        <w:t xml:space="preserve">1.4 数量（单位）：</w:t>
      </w:r>
      <w:r>
        <w:rPr>
          <w:rFonts w:ascii="宋体" w:hAnsi="宋体"/>
          <w:color w:val="auto"/>
          <w:sz w:val="24"/>
          <w:highlight w:val="none"/>
        </w:rPr>
        <w:t xml:space="preserve">_________。</w:t>
      </w:r>
      <w:r/>
    </w:p>
    <w:p>
      <w:pPr>
        <w:ind w:firstLine="482"/>
        <w:rPr>
          <w:b/>
          <w:bCs/>
          <w:color w:val="auto"/>
          <w:sz w:val="24"/>
          <w:highlight w:val="none"/>
        </w:rPr>
      </w:pPr>
      <w:r>
        <w:rPr>
          <w:rFonts w:hint="eastAsia"/>
          <w:b/>
          <w:bCs/>
          <w:color w:val="auto"/>
          <w:sz w:val="24"/>
          <w:highlight w:val="none"/>
        </w:rPr>
        <w:t xml:space="preserve">二、合同金额</w:t>
      </w:r>
      <w:r/>
    </w:p>
    <w:p>
      <w:pPr>
        <w:ind w:firstLine="480"/>
        <w:rPr>
          <w:rFonts w:hint="eastAsia"/>
          <w:color w:val="auto"/>
          <w:sz w:val="24"/>
          <w:highlight w:val="none"/>
        </w:rPr>
      </w:pPr>
      <w:r>
        <w:rPr>
          <w:rFonts w:hint="eastAsia"/>
          <w:color w:val="auto"/>
          <w:sz w:val="24"/>
          <w:highlight w:val="none"/>
        </w:rPr>
        <w:t xml:space="preserve">2.1 本合同金额为人民币（大写）：</w:t>
      </w:r>
      <w:r>
        <w:rPr>
          <w:color w:val="auto"/>
          <w:sz w:val="24"/>
          <w:highlight w:val="none"/>
        </w:rPr>
        <w:t xml:space="preserve">_______________</w:t>
      </w:r>
      <w:r>
        <w:rPr>
          <w:rFonts w:hint="eastAsia"/>
          <w:color w:val="auto"/>
          <w:sz w:val="24"/>
          <w:highlight w:val="none"/>
        </w:rPr>
        <w:t xml:space="preserve">元（¥</w:t>
      </w:r>
      <w:r>
        <w:rPr>
          <w:color w:val="auto"/>
          <w:sz w:val="24"/>
          <w:highlight w:val="none"/>
        </w:rPr>
        <w:t xml:space="preserve">_____________</w:t>
      </w:r>
      <w:r>
        <w:rPr>
          <w:rFonts w:hint="eastAsia"/>
          <w:color w:val="auto"/>
          <w:sz w:val="24"/>
          <w:highlight w:val="none"/>
        </w:rPr>
        <w:t xml:space="preserve">）。</w:t>
      </w:r>
      <w:r/>
    </w:p>
    <w:p>
      <w:pPr>
        <w:ind w:firstLine="480"/>
        <w:rPr>
          <w:rFonts w:hint="eastAsia"/>
          <w:color w:val="auto"/>
          <w:sz w:val="24"/>
          <w:highlight w:val="none"/>
        </w:rPr>
      </w:pPr>
      <w:r>
        <w:rPr>
          <w:rFonts w:hint="eastAsia"/>
          <w:color w:val="auto"/>
          <w:sz w:val="24"/>
          <w:highlight w:val="none"/>
        </w:rPr>
        <w:t xml:space="preserve">（详见投标报价表）</w:t>
      </w:r>
      <w:r/>
    </w:p>
    <w:p>
      <w:pPr>
        <w:ind w:firstLine="480"/>
        <w:rPr>
          <w:color w:val="auto"/>
          <w:sz w:val="24"/>
          <w:highlight w:val="none"/>
        </w:rPr>
      </w:pPr>
      <w:r>
        <w:rPr>
          <w:rFonts w:hint="eastAsia"/>
          <w:color w:val="auto"/>
          <w:sz w:val="24"/>
          <w:highlight w:val="none"/>
        </w:rPr>
        <w:t xml:space="preserve">2.2 </w:t>
      </w:r>
      <w:r>
        <w:rPr>
          <w:color w:val="auto"/>
          <w:sz w:val="24"/>
          <w:highlight w:val="none"/>
        </w:rPr>
        <w:t xml:space="preserve">本合同价款包含所有乙方提供合同约定产品和服务的报酬及乙方提供合同中产品和服务所支出的必要费用，甲方在上述合同价款之外不再向乙方支付其他任何费用。</w:t>
      </w:r>
      <w:r/>
    </w:p>
    <w:p>
      <w:pPr>
        <w:ind w:firstLine="482"/>
        <w:rPr>
          <w:b/>
          <w:bCs/>
          <w:color w:val="auto"/>
          <w:sz w:val="24"/>
          <w:highlight w:val="none"/>
        </w:rPr>
      </w:pPr>
      <w:r>
        <w:rPr>
          <w:rFonts w:hint="eastAsia"/>
          <w:b/>
          <w:bCs/>
          <w:color w:val="auto"/>
          <w:sz w:val="24"/>
          <w:highlight w:val="none"/>
        </w:rPr>
        <w:t xml:space="preserve">三、技术资料</w:t>
      </w:r>
      <w:r/>
    </w:p>
    <w:p>
      <w:pPr>
        <w:ind w:firstLine="480"/>
        <w:rPr>
          <w:color w:val="auto"/>
          <w:sz w:val="24"/>
          <w:highlight w:val="none"/>
        </w:rPr>
      </w:pPr>
      <w:r>
        <w:rPr>
          <w:rFonts w:hint="eastAsia"/>
          <w:color w:val="auto"/>
          <w:sz w:val="24"/>
          <w:highlight w:val="none"/>
        </w:rPr>
        <w:t xml:space="preserve">3.1 乙方应按招标文件规定的时间向甲方提供使用货物的有关技术资料。</w:t>
      </w:r>
      <w:r/>
    </w:p>
    <w:p>
      <w:pPr>
        <w:ind w:firstLine="480"/>
        <w:rPr>
          <w:rFonts w:hAnsi="宋体"/>
          <w:color w:val="auto"/>
          <w:sz w:val="24"/>
          <w:highlight w:val="none"/>
        </w:rPr>
      </w:pPr>
      <w:r>
        <w:rPr>
          <w:rFonts w:hint="eastAsia"/>
          <w:color w:val="auto"/>
          <w:sz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rPr>
          <w:b/>
          <w:bCs/>
          <w:color w:val="auto"/>
          <w:sz w:val="24"/>
          <w:highlight w:val="none"/>
        </w:rPr>
      </w:pPr>
      <w:r>
        <w:rPr>
          <w:rFonts w:hint="eastAsia"/>
          <w:b/>
          <w:bCs/>
          <w:color w:val="auto"/>
          <w:sz w:val="24"/>
          <w:highlight w:val="none"/>
        </w:rPr>
        <w:t xml:space="preserve">四、知识产权</w:t>
      </w:r>
      <w:r/>
    </w:p>
    <w:p>
      <w:pPr>
        <w:ind w:firstLine="480"/>
        <w:rPr>
          <w:rFonts w:hAnsi="宋体"/>
          <w:color w:val="auto"/>
          <w:sz w:val="24"/>
          <w:highlight w:val="none"/>
        </w:rPr>
      </w:pPr>
      <w:r>
        <w:rPr>
          <w:rFonts w:hint="eastAsia" w:hAnsi="宋体"/>
          <w:color w:val="auto"/>
          <w:sz w:val="24"/>
          <w:highlight w:val="none"/>
        </w:rPr>
        <w:t xml:space="preserve">4.1 乙方应保证所提供的货物或其任何一部分均不会侵犯任何第三方的专利权、商标权或著作权</w:t>
      </w:r>
      <w:r>
        <w:rPr>
          <w:rFonts w:hint="eastAsia" w:hAnsi="宋体"/>
          <w:b/>
          <w:bCs/>
          <w:color w:val="auto"/>
          <w:sz w:val="24"/>
          <w:highlight w:val="none"/>
        </w:rPr>
        <w:t xml:space="preserve">。</w:t>
      </w:r>
      <w:r/>
    </w:p>
    <w:p>
      <w:pPr>
        <w:pStyle w:val="1035"/>
        <w:ind w:firstLine="482"/>
        <w:rPr>
          <w:rFonts w:hAnsi="宋体"/>
          <w:color w:val="auto"/>
          <w:sz w:val="24"/>
          <w:szCs w:val="24"/>
          <w:highlight w:val="none"/>
          <w:u w:val="single"/>
        </w:rPr>
      </w:pPr>
      <w:r>
        <w:rPr>
          <w:rFonts w:hint="eastAsia" w:hAnsi="宋体"/>
          <w:b/>
          <w:color w:val="auto"/>
          <w:sz w:val="24"/>
          <w:szCs w:val="24"/>
          <w:highlight w:val="none"/>
        </w:rPr>
        <w:t xml:space="preserve">五、无产权瑕疵条款</w:t>
      </w:r>
      <w:r/>
    </w:p>
    <w:p>
      <w:pPr>
        <w:ind w:firstLine="480"/>
        <w:rPr>
          <w:rFonts w:hAnsi="宋体"/>
          <w:b/>
          <w:color w:val="auto"/>
          <w:sz w:val="24"/>
          <w:highlight w:val="none"/>
        </w:rPr>
      </w:pPr>
      <w:r>
        <w:rPr>
          <w:rFonts w:hint="eastAsia"/>
          <w:color w:val="auto"/>
          <w:sz w:val="24"/>
          <w:highlight w:val="none"/>
        </w:rPr>
        <w:t xml:space="preserve">5.1 乙方保证所交付的货物的所有权完全属于乙方且无任何抵押、查封等产权瑕疵。如乙方交付货物有产权瑕疵的，视为乙方违约，按照本合同第13条第3款的约定处理。但在已经全部支付完合同款后才发现有产权瑕疵的，除了支付违约金，乙方还应负担由此而产生的一切损失。</w:t>
      </w:r>
      <w:r/>
    </w:p>
    <w:p>
      <w:pPr>
        <w:ind w:firstLine="482"/>
        <w:rPr>
          <w:b/>
          <w:bCs/>
          <w:color w:val="auto"/>
          <w:sz w:val="24"/>
          <w:highlight w:val="none"/>
        </w:rPr>
      </w:pPr>
      <w:r>
        <w:rPr>
          <w:rFonts w:hint="eastAsia"/>
          <w:b/>
          <w:bCs/>
          <w:color w:val="auto"/>
          <w:sz w:val="24"/>
          <w:highlight w:val="none"/>
        </w:rPr>
        <w:t xml:space="preserve">六、履约保证金</w:t>
      </w:r>
      <w:r/>
    </w:p>
    <w:p>
      <w:pPr>
        <w:ind w:firstLine="480"/>
        <w:rPr>
          <w:rFonts w:hint="eastAsia" w:hAnsi="宋体"/>
          <w:color w:val="auto"/>
          <w:sz w:val="24"/>
          <w:highlight w:val="none"/>
        </w:rPr>
      </w:pPr>
      <w:r>
        <w:rPr>
          <w:rFonts w:hint="eastAsia"/>
          <w:color w:val="auto"/>
          <w:sz w:val="24"/>
          <w:highlight w:val="none"/>
        </w:rPr>
        <w:t xml:space="preserve">6.1本项目不收取履约保证金。</w:t>
      </w:r>
      <w:r/>
    </w:p>
    <w:p>
      <w:pPr>
        <w:ind w:firstLine="482"/>
        <w:rPr>
          <w:b/>
          <w:bCs/>
          <w:color w:val="auto"/>
          <w:sz w:val="24"/>
          <w:highlight w:val="none"/>
        </w:rPr>
      </w:pPr>
      <w:r>
        <w:rPr>
          <w:rFonts w:hint="eastAsia"/>
          <w:b/>
          <w:bCs/>
          <w:color w:val="auto"/>
          <w:sz w:val="24"/>
          <w:highlight w:val="none"/>
        </w:rPr>
        <w:t xml:space="preserve">七、质保期</w:t>
      </w:r>
      <w:r/>
    </w:p>
    <w:p>
      <w:pPr>
        <w:ind w:firstLine="480"/>
        <w:rPr>
          <w:rFonts w:hint="eastAsia"/>
          <w:color w:val="auto"/>
          <w:sz w:val="24"/>
          <w:highlight w:val="none"/>
        </w:rPr>
      </w:pPr>
      <w:r>
        <w:rPr>
          <w:rFonts w:hint="eastAsia"/>
          <w:color w:val="auto"/>
          <w:sz w:val="24"/>
          <w:highlight w:val="none"/>
        </w:rPr>
        <w:t xml:space="preserve">7.1 质保期</w:t>
      </w:r>
      <w:r>
        <w:rPr>
          <w:rFonts w:hint="eastAsia"/>
          <w:color w:val="auto"/>
          <w:sz w:val="24"/>
          <w:highlight w:val="none"/>
          <w:u w:val="single"/>
        </w:rPr>
        <w:t xml:space="preserve">           </w:t>
      </w:r>
      <w:r>
        <w:rPr>
          <w:rFonts w:hint="eastAsia"/>
          <w:color w:val="auto"/>
          <w:sz w:val="24"/>
          <w:highlight w:val="none"/>
        </w:rPr>
        <w:t xml:space="preserve">年（</w:t>
      </w:r>
      <w:r>
        <w:rPr>
          <w:rFonts w:hint="eastAsia" w:ascii="宋体" w:hAnsi="宋体"/>
          <w:color w:val="auto"/>
          <w:sz w:val="24"/>
          <w:highlight w:val="none"/>
        </w:rPr>
        <w:t xml:space="preserve">自项目验收合格之日起计算</w:t>
      </w:r>
      <w:r>
        <w:rPr>
          <w:rFonts w:hint="eastAsia"/>
          <w:color w:val="auto"/>
          <w:sz w:val="24"/>
          <w:highlight w:val="none"/>
        </w:rPr>
        <w:t xml:space="preserve">）。</w:t>
      </w:r>
      <w:r/>
    </w:p>
    <w:p>
      <w:pPr>
        <w:ind w:firstLine="482"/>
        <w:rPr>
          <w:b/>
          <w:bCs/>
          <w:color w:val="auto"/>
          <w:sz w:val="24"/>
          <w:highlight w:val="none"/>
        </w:rPr>
      </w:pPr>
      <w:r>
        <w:rPr>
          <w:rFonts w:hint="eastAsia"/>
          <w:b/>
          <w:bCs/>
          <w:color w:val="auto"/>
          <w:sz w:val="24"/>
          <w:highlight w:val="none"/>
        </w:rPr>
        <w:t xml:space="preserve">八、交货期、交货方式及交货地点</w:t>
      </w:r>
      <w:r/>
    </w:p>
    <w:p>
      <w:pPr>
        <w:ind w:firstLine="480"/>
        <w:rPr>
          <w:color w:val="auto"/>
          <w:sz w:val="24"/>
          <w:highlight w:val="none"/>
        </w:rPr>
      </w:pPr>
      <w:r>
        <w:rPr>
          <w:rFonts w:hint="eastAsia"/>
          <w:color w:val="auto"/>
          <w:sz w:val="24"/>
          <w:highlight w:val="none"/>
        </w:rPr>
        <w:t xml:space="preserve">8.1 交货期：</w:t>
      </w:r>
      <w:r>
        <w:rPr>
          <w:rFonts w:hint="eastAsia"/>
          <w:color w:val="auto"/>
          <w:sz w:val="24"/>
          <w:highlight w:val="none"/>
          <w:u w:val="single"/>
        </w:rPr>
        <w:t xml:space="preserve">         </w:t>
      </w:r>
      <w:r>
        <w:rPr>
          <w:rFonts w:hint="eastAsia"/>
          <w:color w:val="auto"/>
          <w:sz w:val="24"/>
          <w:highlight w:val="none"/>
        </w:rPr>
        <w:t xml:space="preserve">。</w:t>
      </w:r>
      <w:r/>
    </w:p>
    <w:p>
      <w:pPr>
        <w:ind w:firstLine="480"/>
        <w:rPr>
          <w:color w:val="auto"/>
          <w:sz w:val="24"/>
          <w:highlight w:val="none"/>
        </w:rPr>
      </w:pPr>
      <w:r>
        <w:rPr>
          <w:rFonts w:hint="eastAsia"/>
          <w:color w:val="auto"/>
          <w:sz w:val="24"/>
          <w:highlight w:val="none"/>
        </w:rPr>
        <w:t xml:space="preserve">8.2 交货方式：</w:t>
      </w:r>
      <w:r>
        <w:rPr>
          <w:rFonts w:hint="eastAsia"/>
          <w:color w:val="auto"/>
          <w:sz w:val="24"/>
          <w:highlight w:val="none"/>
          <w:u w:val="single"/>
        </w:rPr>
        <w:t xml:space="preserve">       </w:t>
      </w:r>
      <w:r>
        <w:rPr>
          <w:rFonts w:hint="eastAsia"/>
          <w:color w:val="auto"/>
          <w:sz w:val="24"/>
          <w:highlight w:val="none"/>
        </w:rPr>
        <w:t xml:space="preserve">。</w:t>
      </w:r>
      <w:r/>
    </w:p>
    <w:p>
      <w:pPr>
        <w:ind w:firstLine="480"/>
        <w:rPr>
          <w:rFonts w:hAnsi="宋体"/>
          <w:b/>
          <w:color w:val="auto"/>
          <w:sz w:val="24"/>
          <w:highlight w:val="none"/>
        </w:rPr>
      </w:pPr>
      <w:r>
        <w:rPr>
          <w:rFonts w:hint="eastAsia"/>
          <w:color w:val="auto"/>
          <w:sz w:val="24"/>
          <w:highlight w:val="none"/>
        </w:rPr>
        <w:t xml:space="preserve">8.3 交货地点：</w:t>
      </w:r>
      <w:r>
        <w:rPr>
          <w:rFonts w:hint="eastAsia"/>
          <w:color w:val="auto"/>
          <w:sz w:val="24"/>
          <w:highlight w:val="none"/>
          <w:u w:val="single"/>
        </w:rPr>
        <w:t xml:space="preserve">       </w:t>
      </w:r>
      <w:r>
        <w:rPr>
          <w:rFonts w:hint="eastAsia"/>
          <w:color w:val="auto"/>
          <w:sz w:val="24"/>
          <w:highlight w:val="none"/>
        </w:rPr>
        <w:t xml:space="preserve">。</w:t>
      </w:r>
      <w:r/>
    </w:p>
    <w:p>
      <w:pPr>
        <w:ind w:firstLine="482"/>
        <w:rPr>
          <w:b/>
          <w:bCs/>
          <w:color w:val="auto"/>
          <w:sz w:val="24"/>
          <w:highlight w:val="none"/>
        </w:rPr>
      </w:pPr>
      <w:r>
        <w:rPr>
          <w:rFonts w:hint="eastAsia"/>
          <w:b/>
          <w:bCs/>
          <w:color w:val="auto"/>
          <w:sz w:val="24"/>
          <w:highlight w:val="none"/>
        </w:rPr>
        <w:t xml:space="preserve">九、合同款支付</w:t>
      </w:r>
      <w:r/>
    </w:p>
    <w:p>
      <w:pPr>
        <w:ind w:firstLine="480"/>
        <w:rPr>
          <w:color w:val="auto"/>
          <w:sz w:val="24"/>
          <w:highlight w:val="none"/>
        </w:rPr>
      </w:pPr>
      <w:r>
        <w:rPr>
          <w:rFonts w:hint="eastAsia"/>
          <w:color w:val="auto"/>
          <w:sz w:val="24"/>
          <w:highlight w:val="none"/>
        </w:rPr>
        <w:t xml:space="preserve">9.1 付款方式：</w:t>
      </w:r>
      <w:r>
        <w:rPr>
          <w:rFonts w:hint="eastAsia"/>
          <w:color w:val="auto"/>
          <w:sz w:val="24"/>
          <w:highlight w:val="none"/>
          <w:u w:val="single"/>
        </w:rPr>
        <w:t xml:space="preserve">                          </w:t>
      </w:r>
      <w:r>
        <w:rPr>
          <w:rFonts w:hint="eastAsia"/>
          <w:color w:val="auto"/>
          <w:sz w:val="24"/>
          <w:highlight w:val="none"/>
        </w:rPr>
        <w:t xml:space="preserve">。</w:t>
      </w:r>
      <w:r/>
    </w:p>
    <w:p>
      <w:pPr>
        <w:ind w:firstLine="480"/>
        <w:rPr>
          <w:rFonts w:hAnsi="宋体"/>
          <w:bCs/>
          <w:color w:val="auto"/>
          <w:sz w:val="24"/>
          <w:highlight w:val="none"/>
        </w:rPr>
      </w:pPr>
      <w:r>
        <w:rPr>
          <w:rFonts w:hint="eastAsia"/>
          <w:color w:val="auto"/>
          <w:sz w:val="24"/>
          <w:highlight w:val="none"/>
        </w:rPr>
        <w:t xml:space="preserve">9.2 当采购数量与实际使用数量不一致时，乙方根据实际使用量提供产品和服务，合同的最终结算金额按实际使用量乘以中标单价进行计算。</w:t>
      </w:r>
      <w:r/>
    </w:p>
    <w:p>
      <w:pPr>
        <w:ind w:firstLine="482"/>
        <w:rPr>
          <w:b/>
          <w:bCs/>
          <w:color w:val="auto"/>
          <w:sz w:val="24"/>
          <w:highlight w:val="none"/>
        </w:rPr>
      </w:pPr>
      <w:r>
        <w:rPr>
          <w:rFonts w:hint="eastAsia"/>
          <w:b/>
          <w:bCs/>
          <w:color w:val="auto"/>
          <w:sz w:val="24"/>
          <w:highlight w:val="none"/>
        </w:rPr>
        <w:t xml:space="preserve">十、质量保证及售后服务</w:t>
      </w:r>
      <w:r/>
    </w:p>
    <w:p>
      <w:pPr>
        <w:ind w:firstLine="480"/>
        <w:rPr>
          <w:color w:val="auto"/>
          <w:sz w:val="24"/>
          <w:highlight w:val="none"/>
        </w:rPr>
      </w:pPr>
      <w:r>
        <w:rPr>
          <w:rFonts w:hint="eastAsia"/>
          <w:color w:val="auto"/>
          <w:sz w:val="24"/>
          <w:highlight w:val="none"/>
        </w:rPr>
        <w:t xml:space="preserve">10.1 乙方应按招标文件规定的货物性能、技术要求、质量标准向甲方提供未经使用的全新产品。</w:t>
      </w:r>
      <w:r/>
    </w:p>
    <w:p>
      <w:pPr>
        <w:ind w:firstLine="480"/>
        <w:rPr>
          <w:color w:val="auto"/>
          <w:sz w:val="24"/>
          <w:highlight w:val="none"/>
        </w:rPr>
      </w:pPr>
      <w:r>
        <w:rPr>
          <w:rFonts w:hint="eastAsia"/>
          <w:color w:val="auto"/>
          <w:sz w:val="24"/>
          <w:highlight w:val="none"/>
        </w:rPr>
        <w:t xml:space="preserve">10.2 乙方提供的货物在质保期内因货物本身的质量问题发生故障，乙方应负责免费更换。对达不到技术要求者，根据实际情况，经双方协商，可按以下办法处理：</w:t>
      </w:r>
      <w:r/>
    </w:p>
    <w:p>
      <w:pPr>
        <w:ind w:firstLine="480"/>
        <w:rPr>
          <w:color w:val="auto"/>
          <w:sz w:val="24"/>
          <w:highlight w:val="none"/>
        </w:rPr>
      </w:pPr>
      <w:r>
        <w:rPr>
          <w:rFonts w:hint="eastAsia"/>
          <w:color w:val="auto"/>
          <w:sz w:val="24"/>
          <w:highlight w:val="none"/>
        </w:rPr>
        <w:t xml:space="preserve">（1）更换：由乙方承担所发生的全部费用。</w:t>
      </w:r>
      <w:r/>
    </w:p>
    <w:p>
      <w:pPr>
        <w:ind w:firstLine="480"/>
        <w:rPr>
          <w:color w:val="auto"/>
          <w:sz w:val="24"/>
          <w:highlight w:val="none"/>
        </w:rPr>
      </w:pPr>
      <w:r>
        <w:rPr>
          <w:rFonts w:hint="eastAsia"/>
          <w:color w:val="auto"/>
          <w:sz w:val="24"/>
          <w:highlight w:val="none"/>
        </w:rPr>
        <w:t xml:space="preserve">（2）贬值处理：由甲乙双方合议定价。</w:t>
      </w:r>
      <w:r/>
    </w:p>
    <w:p>
      <w:pPr>
        <w:ind w:firstLine="480"/>
        <w:rPr>
          <w:color w:val="auto"/>
          <w:sz w:val="24"/>
          <w:highlight w:val="none"/>
        </w:rPr>
      </w:pPr>
      <w:r>
        <w:rPr>
          <w:rFonts w:hint="eastAsia"/>
          <w:color w:val="auto"/>
          <w:sz w:val="24"/>
          <w:highlight w:val="none"/>
        </w:rPr>
        <w:t xml:space="preserve">（3）退货处理：乙方应退还甲方支付的合同款，同时应承担该货物的直接费用（运输、保险、检验、合同款利息及银行手续费等）。</w:t>
      </w:r>
      <w:r/>
    </w:p>
    <w:p>
      <w:pPr>
        <w:ind w:firstLine="480"/>
        <w:rPr>
          <w:color w:val="auto"/>
          <w:sz w:val="24"/>
          <w:highlight w:val="none"/>
        </w:rPr>
      </w:pPr>
      <w:r>
        <w:rPr>
          <w:rFonts w:hint="eastAsia"/>
          <w:color w:val="auto"/>
          <w:sz w:val="24"/>
          <w:highlight w:val="none"/>
        </w:rPr>
        <w:t xml:space="preserve">10.3 测试要求：乙方安装后现场测试，提供测试报告，甲方验收签字确认。</w:t>
      </w:r>
      <w:r/>
    </w:p>
    <w:p>
      <w:pPr>
        <w:ind w:firstLine="482"/>
        <w:rPr>
          <w:b/>
          <w:bCs/>
          <w:color w:val="auto"/>
          <w:sz w:val="24"/>
          <w:highlight w:val="none"/>
        </w:rPr>
      </w:pPr>
      <w:r>
        <w:rPr>
          <w:rFonts w:hint="eastAsia"/>
          <w:b/>
          <w:bCs/>
          <w:color w:val="auto"/>
          <w:sz w:val="24"/>
          <w:highlight w:val="none"/>
        </w:rPr>
        <w:t xml:space="preserve">十一、调试和验收</w:t>
      </w:r>
      <w:r/>
    </w:p>
    <w:p>
      <w:pPr>
        <w:ind w:firstLine="480"/>
        <w:rPr>
          <w:color w:val="auto"/>
          <w:sz w:val="24"/>
          <w:highlight w:val="none"/>
        </w:rPr>
      </w:pPr>
      <w:r>
        <w:rPr>
          <w:rFonts w:hint="eastAsia"/>
          <w:color w:val="auto"/>
          <w:sz w:val="24"/>
          <w:highlight w:val="none"/>
        </w:rPr>
        <w:t xml:space="preserve">11.1 甲方对乙方交付的货物依据招标文件上的技术规格要求和国家有关质量标准进行现场初步验收，外观、说明书符合招标文件技术要求的，给予签收，初步验收不合格的不予签收并可立即要求退换。货到后</w:t>
      </w:r>
      <w:r>
        <w:rPr>
          <w:rFonts w:hint="eastAsia"/>
          <w:color w:val="auto"/>
          <w:sz w:val="24"/>
          <w:highlight w:val="none"/>
          <w:lang w:eastAsia="zh-CN"/>
        </w:rPr>
        <w:t xml:space="preserve">符合验收标准，</w:t>
      </w:r>
      <w:r>
        <w:rPr>
          <w:rFonts w:hint="eastAsia"/>
          <w:color w:val="auto"/>
          <w:sz w:val="24"/>
          <w:highlight w:val="none"/>
        </w:rPr>
        <w:t xml:space="preserve">甲方</w:t>
      </w:r>
      <w:r>
        <w:rPr>
          <w:rFonts w:hint="eastAsia"/>
          <w:color w:val="auto"/>
          <w:sz w:val="24"/>
          <w:highlight w:val="none"/>
          <w:lang w:eastAsia="zh-CN"/>
        </w:rPr>
        <w:t xml:space="preserve">组织</w:t>
      </w:r>
      <w:r>
        <w:rPr>
          <w:rFonts w:hint="eastAsia"/>
          <w:color w:val="auto"/>
          <w:sz w:val="24"/>
          <w:highlight w:val="none"/>
        </w:rPr>
        <w:t xml:space="preserve">验收。在采购人将所有的货物按招标文件要求和国家标准或行业标准进行检测验收后，发现有其他非故意的损坏或质量问题的，由乙方立即予以更换，不得拒绝和延误。</w:t>
      </w:r>
      <w:r/>
    </w:p>
    <w:p>
      <w:pPr>
        <w:ind w:firstLine="480"/>
        <w:rPr>
          <w:color w:val="auto"/>
          <w:sz w:val="24"/>
          <w:highlight w:val="none"/>
        </w:rPr>
      </w:pPr>
      <w:r>
        <w:rPr>
          <w:rFonts w:hint="eastAsia"/>
          <w:color w:val="auto"/>
          <w:sz w:val="24"/>
          <w:highlight w:val="none"/>
        </w:rPr>
        <w:t xml:space="preserve">11.2 乙方交货前应对产品作出全面检查和对验收文件进行整理，并列出清单，作为甲方收货验收和使用的技术条件依据，检验的结果应随货物交甲方。</w:t>
      </w:r>
      <w:r/>
    </w:p>
    <w:p>
      <w:pPr>
        <w:ind w:firstLine="480"/>
        <w:rPr>
          <w:rFonts w:hint="eastAsia"/>
          <w:color w:val="auto"/>
          <w:sz w:val="24"/>
          <w:highlight w:val="none"/>
        </w:rPr>
      </w:pPr>
      <w:r>
        <w:rPr>
          <w:rFonts w:hint="eastAsia"/>
          <w:color w:val="auto"/>
          <w:sz w:val="24"/>
          <w:highlight w:val="none"/>
        </w:rPr>
        <w:t xml:space="preserve">11.3 甲方对乙方提供的货物在使用前，乙方需负责安装调试并培训甲方的使用操作人员，并协助甲方一起调试，直到符合技术要求。安装调试费用由乙方负责。</w:t>
      </w:r>
      <w:r/>
    </w:p>
    <w:p>
      <w:pPr>
        <w:ind w:firstLine="480"/>
        <w:rPr>
          <w:rFonts w:hAnsi="宋体"/>
          <w:b/>
          <w:color w:val="auto"/>
          <w:sz w:val="24"/>
          <w:highlight w:val="none"/>
        </w:rPr>
      </w:pPr>
      <w:r>
        <w:rPr>
          <w:rFonts w:hint="eastAsia"/>
          <w:color w:val="auto"/>
          <w:sz w:val="24"/>
          <w:highlight w:val="none"/>
        </w:rPr>
        <w:t xml:space="preserve">11.4 验收时乙方必须在现场，验收完毕后作出验收结果报告。对技术复杂的项目，甲方可组织有关部门和专家进行验收，相关费用由甲乙双方协商解决。</w:t>
      </w:r>
      <w:r/>
    </w:p>
    <w:p>
      <w:pPr>
        <w:ind w:firstLine="482"/>
        <w:rPr>
          <w:b/>
          <w:bCs/>
          <w:color w:val="auto"/>
          <w:sz w:val="24"/>
          <w:highlight w:val="none"/>
        </w:rPr>
      </w:pPr>
      <w:r>
        <w:rPr>
          <w:rFonts w:hint="eastAsia"/>
          <w:b/>
          <w:bCs/>
          <w:color w:val="auto"/>
          <w:sz w:val="24"/>
          <w:highlight w:val="none"/>
        </w:rPr>
        <w:t xml:space="preserve">十二、货物包装、发运及运输</w:t>
      </w:r>
      <w:r/>
    </w:p>
    <w:p>
      <w:pPr>
        <w:ind w:firstLine="480"/>
        <w:rPr>
          <w:color w:val="auto"/>
          <w:sz w:val="24"/>
          <w:highlight w:val="none"/>
        </w:rPr>
      </w:pPr>
      <w:r>
        <w:rPr>
          <w:rFonts w:hint="eastAsia"/>
          <w:color w:val="auto"/>
          <w:sz w:val="24"/>
          <w:highlight w:val="none"/>
        </w:rPr>
        <w:t xml:space="preserve">12.1 乙方应在货物发运前对其进行满足运输距离、防潮、防震、防锈和防破损装卸等要求包装，以保证货物安全运达甲方指定地点。</w:t>
      </w:r>
      <w:r/>
    </w:p>
    <w:p>
      <w:pPr>
        <w:ind w:firstLine="480"/>
        <w:rPr>
          <w:color w:val="auto"/>
          <w:sz w:val="24"/>
          <w:highlight w:val="none"/>
        </w:rPr>
      </w:pPr>
      <w:r>
        <w:rPr>
          <w:rFonts w:hint="eastAsia"/>
          <w:color w:val="auto"/>
          <w:sz w:val="24"/>
          <w:highlight w:val="none"/>
        </w:rPr>
        <w:t xml:space="preserve">12.2 使用说明书、质量检验证明书、随配附件和工具以及清单一并附于货物内。</w:t>
      </w:r>
      <w:r/>
    </w:p>
    <w:p>
      <w:pPr>
        <w:ind w:firstLine="480"/>
        <w:rPr>
          <w:color w:val="auto"/>
          <w:sz w:val="24"/>
          <w:highlight w:val="none"/>
        </w:rPr>
      </w:pPr>
      <w:r>
        <w:rPr>
          <w:rFonts w:hint="eastAsia"/>
          <w:color w:val="auto"/>
          <w:sz w:val="24"/>
          <w:highlight w:val="none"/>
        </w:rPr>
        <w:t xml:space="preserve">12.3 乙方在货物发运手续办理完毕后24小时内或货到甲方48小时前通知甲方，以准备接货。</w:t>
      </w:r>
      <w:r/>
    </w:p>
    <w:p>
      <w:pPr>
        <w:ind w:firstLine="480"/>
        <w:rPr>
          <w:color w:val="auto"/>
          <w:sz w:val="24"/>
          <w:highlight w:val="none"/>
        </w:rPr>
      </w:pPr>
      <w:r>
        <w:rPr>
          <w:rFonts w:hint="eastAsia"/>
          <w:color w:val="auto"/>
          <w:sz w:val="24"/>
          <w:highlight w:val="none"/>
        </w:rPr>
        <w:t xml:space="preserve">12.4 货物在交付甲方前发生的风险均由乙方负责。</w:t>
      </w:r>
      <w:r/>
    </w:p>
    <w:p>
      <w:pPr>
        <w:ind w:firstLine="480"/>
        <w:rPr>
          <w:rFonts w:hAnsi="宋体"/>
          <w:b/>
          <w:color w:val="auto"/>
          <w:sz w:val="24"/>
          <w:highlight w:val="none"/>
        </w:rPr>
      </w:pPr>
      <w:r>
        <w:rPr>
          <w:rFonts w:hint="eastAsia"/>
          <w:color w:val="auto"/>
          <w:sz w:val="24"/>
          <w:highlight w:val="none"/>
        </w:rPr>
        <w:t xml:space="preserve">12.5 货物在规定的交付期限内由乙方送达甲方指定的地点视为交付，乙方同时需通知甲方货物已送达。</w:t>
      </w:r>
      <w:r/>
    </w:p>
    <w:p>
      <w:pPr>
        <w:ind w:firstLine="482"/>
        <w:rPr>
          <w:b/>
          <w:bCs/>
          <w:color w:val="auto"/>
          <w:sz w:val="24"/>
          <w:highlight w:val="none"/>
        </w:rPr>
      </w:pPr>
      <w:r>
        <w:rPr>
          <w:rFonts w:hint="eastAsia"/>
          <w:b/>
          <w:bCs/>
          <w:color w:val="auto"/>
          <w:sz w:val="24"/>
          <w:highlight w:val="none"/>
        </w:rPr>
        <w:t xml:space="preserve">十三、违约责任</w:t>
      </w:r>
      <w:r/>
    </w:p>
    <w:p>
      <w:pPr>
        <w:ind w:firstLine="480"/>
        <w:rPr>
          <w:color w:val="auto"/>
          <w:sz w:val="24"/>
          <w:highlight w:val="none"/>
        </w:rPr>
      </w:pPr>
      <w:r>
        <w:rPr>
          <w:rFonts w:hint="eastAsia"/>
          <w:color w:val="auto"/>
          <w:sz w:val="24"/>
          <w:highlight w:val="none"/>
        </w:rPr>
        <w:t xml:space="preserve">13.1 甲方无正当理由拒收货物的，甲方向乙方偿付拒收合同款总值的</w:t>
      </w:r>
      <w:r>
        <w:rPr>
          <w:rFonts w:hint="eastAsia"/>
          <w:color w:val="auto"/>
          <w:sz w:val="24"/>
          <w:highlight w:val="none"/>
          <w:u w:val="single"/>
        </w:rPr>
        <w:t xml:space="preserve">百分之五</w:t>
      </w:r>
      <w:r>
        <w:rPr>
          <w:rFonts w:hint="eastAsia"/>
          <w:color w:val="auto"/>
          <w:sz w:val="24"/>
          <w:highlight w:val="none"/>
        </w:rPr>
        <w:t xml:space="preserve">违约金。</w:t>
      </w:r>
      <w:r/>
    </w:p>
    <w:p>
      <w:pPr>
        <w:ind w:firstLine="480"/>
        <w:rPr>
          <w:color w:val="auto"/>
          <w:sz w:val="24"/>
          <w:highlight w:val="none"/>
        </w:rPr>
      </w:pPr>
      <w:r>
        <w:rPr>
          <w:rFonts w:hint="eastAsia"/>
          <w:color w:val="auto"/>
          <w:sz w:val="24"/>
          <w:highlight w:val="none"/>
        </w:rPr>
        <w:t xml:space="preserve">13.2 甲方无故逾期验收和办理合同款支付手续的，甲方应按逾期付款总额每日</w:t>
      </w:r>
      <w:r>
        <w:rPr>
          <w:rFonts w:hint="eastAsia"/>
          <w:color w:val="auto"/>
          <w:sz w:val="24"/>
          <w:highlight w:val="none"/>
          <w:u w:val="single"/>
        </w:rPr>
        <w:t xml:space="preserve">万分之五</w:t>
      </w:r>
      <w:r>
        <w:rPr>
          <w:rFonts w:hint="eastAsia"/>
          <w:color w:val="auto"/>
          <w:sz w:val="24"/>
          <w:highlight w:val="none"/>
        </w:rPr>
        <w:t xml:space="preserve">向乙方支付违约金，最高限额为本合同总价的</w:t>
      </w:r>
      <w:r>
        <w:rPr>
          <w:rFonts w:hint="eastAsia"/>
          <w:color w:val="auto"/>
          <w:sz w:val="24"/>
          <w:highlight w:val="none"/>
          <w:u w:val="single"/>
        </w:rPr>
        <w:t xml:space="preserve">百分之五</w:t>
      </w:r>
      <w:r>
        <w:rPr>
          <w:rFonts w:hint="eastAsia"/>
          <w:color w:val="auto"/>
          <w:sz w:val="24"/>
          <w:highlight w:val="none"/>
        </w:rPr>
        <w:t xml:space="preserve">。</w:t>
      </w:r>
      <w:r/>
    </w:p>
    <w:p>
      <w:pPr>
        <w:ind w:firstLine="480"/>
        <w:rPr>
          <w:color w:val="auto"/>
          <w:sz w:val="24"/>
          <w:highlight w:val="none"/>
        </w:rPr>
      </w:pPr>
      <w:r>
        <w:rPr>
          <w:rFonts w:hint="eastAsia"/>
          <w:color w:val="auto"/>
          <w:sz w:val="24"/>
          <w:highlight w:val="none"/>
        </w:rPr>
        <w:t xml:space="preserve">13.3 乙方逾期交付货物的，乙方应按逾期交货总额每日</w:t>
      </w:r>
      <w:r>
        <w:rPr>
          <w:rFonts w:hint="eastAsia"/>
          <w:color w:val="auto"/>
          <w:sz w:val="24"/>
          <w:highlight w:val="none"/>
          <w:u w:val="single"/>
        </w:rPr>
        <w:t xml:space="preserve">万分之五</w:t>
      </w:r>
      <w:r>
        <w:rPr>
          <w:rFonts w:hint="eastAsia"/>
          <w:color w:val="auto"/>
          <w:sz w:val="24"/>
          <w:highlight w:val="none"/>
        </w:rPr>
        <w:t xml:space="preserve">向甲方支付违约金，由甲方从待付合同款中扣除，最高限额为本合同总价的</w:t>
      </w:r>
      <w:r>
        <w:rPr>
          <w:rFonts w:hint="eastAsia"/>
          <w:color w:val="auto"/>
          <w:sz w:val="24"/>
          <w:highlight w:val="none"/>
          <w:u w:val="single"/>
        </w:rPr>
        <w:t xml:space="preserve">百分之五</w:t>
      </w:r>
      <w:r>
        <w:rPr>
          <w:rFonts w:hint="eastAsia"/>
          <w:color w:val="auto"/>
          <w:sz w:val="24"/>
          <w:highlight w:val="none"/>
        </w:rPr>
        <w:t xml:space="preserve">。逾期超过约定日期</w:t>
      </w:r>
      <w:r>
        <w:rPr>
          <w:rFonts w:hint="eastAsia"/>
          <w:color w:val="auto"/>
          <w:sz w:val="24"/>
          <w:highlight w:val="none"/>
          <w:u w:val="single"/>
        </w:rPr>
        <w:t xml:space="preserve">10个工作日</w:t>
      </w:r>
      <w:r>
        <w:rPr>
          <w:rFonts w:hint="eastAsia"/>
          <w:color w:val="auto"/>
          <w:sz w:val="24"/>
          <w:highlight w:val="none"/>
        </w:rPr>
        <w:t xml:space="preserve">不能交货的，甲方可解除本合同。乙方因逾期交货或因其他违约行为导致甲方解除合同的，乙方应向甲方支付合同总值</w:t>
      </w:r>
      <w:r>
        <w:rPr>
          <w:rFonts w:hint="eastAsia"/>
          <w:color w:val="auto"/>
          <w:sz w:val="24"/>
          <w:highlight w:val="none"/>
          <w:u w:val="single"/>
        </w:rPr>
        <w:t xml:space="preserve">百分之五</w:t>
      </w:r>
      <w:r>
        <w:rPr>
          <w:rFonts w:hint="eastAsia"/>
          <w:color w:val="auto"/>
          <w:sz w:val="24"/>
          <w:highlight w:val="none"/>
        </w:rPr>
        <w:t xml:space="preserve">的违约金，如造成甲方损失超过违约金的，超出部分由乙方继续承担赔偿责任。 </w:t>
      </w:r>
      <w:r/>
    </w:p>
    <w:p>
      <w:pPr>
        <w:ind w:firstLine="480"/>
        <w:rPr>
          <w:color w:val="auto"/>
          <w:sz w:val="24"/>
          <w:highlight w:val="none"/>
        </w:rPr>
      </w:pPr>
      <w:r>
        <w:rPr>
          <w:rFonts w:hint="eastAsia"/>
          <w:color w:val="auto"/>
          <w:sz w:val="24"/>
          <w:highlight w:val="none"/>
        </w:rPr>
        <w:t xml:space="preserve">13.4 乙方交付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rPr>
          <w:b/>
          <w:bCs/>
          <w:color w:val="auto"/>
          <w:sz w:val="24"/>
          <w:highlight w:val="none"/>
        </w:rPr>
      </w:pPr>
      <w:r>
        <w:rPr>
          <w:rFonts w:hint="eastAsia"/>
          <w:b/>
          <w:bCs/>
          <w:color w:val="auto"/>
          <w:sz w:val="24"/>
          <w:highlight w:val="none"/>
        </w:rPr>
        <w:t xml:space="preserve">十四、不可抗力事件处理</w:t>
      </w:r>
      <w:r/>
    </w:p>
    <w:p>
      <w:pPr>
        <w:ind w:firstLine="480"/>
        <w:rPr>
          <w:color w:val="auto"/>
          <w:sz w:val="24"/>
          <w:highlight w:val="none"/>
        </w:rPr>
      </w:pPr>
      <w:r>
        <w:rPr>
          <w:rFonts w:hint="eastAsia"/>
          <w:color w:val="auto"/>
          <w:sz w:val="24"/>
          <w:highlight w:val="none"/>
        </w:rPr>
        <w:t xml:space="preserve">14.1 在合同有效期内，任何一方因不可抗力事件导致不能履行合同，则合同履行期可延长，其延长期与不可抗力影响期相同。</w:t>
      </w:r>
      <w:r/>
    </w:p>
    <w:p>
      <w:pPr>
        <w:ind w:firstLine="480"/>
        <w:rPr>
          <w:color w:val="auto"/>
          <w:sz w:val="24"/>
          <w:highlight w:val="none"/>
        </w:rPr>
      </w:pPr>
      <w:r>
        <w:rPr>
          <w:rFonts w:hint="eastAsia"/>
          <w:color w:val="auto"/>
          <w:sz w:val="24"/>
          <w:highlight w:val="none"/>
        </w:rPr>
        <w:t xml:space="preserve">14.2 不可抗力事件发生后，应立即通知对方，并寄送有关机构出具的证明。</w:t>
      </w:r>
      <w:r/>
    </w:p>
    <w:p>
      <w:pPr>
        <w:ind w:firstLine="480"/>
        <w:rPr>
          <w:color w:val="auto"/>
          <w:sz w:val="24"/>
          <w:highlight w:val="none"/>
        </w:rPr>
      </w:pPr>
      <w:r>
        <w:rPr>
          <w:rFonts w:hint="eastAsia"/>
          <w:color w:val="auto"/>
          <w:sz w:val="24"/>
          <w:highlight w:val="none"/>
        </w:rPr>
        <w:t xml:space="preserve">14.3 不可抗力事件延续120天以上，双方应通过友好协商，确定是否继续履行合同。</w:t>
      </w:r>
      <w:r/>
    </w:p>
    <w:p>
      <w:pPr>
        <w:ind w:firstLine="482"/>
        <w:rPr>
          <w:b/>
          <w:bCs/>
          <w:color w:val="auto"/>
          <w:sz w:val="24"/>
          <w:highlight w:val="none"/>
        </w:rPr>
      </w:pPr>
      <w:r>
        <w:rPr>
          <w:rFonts w:hint="eastAsia"/>
          <w:b/>
          <w:bCs/>
          <w:color w:val="auto"/>
          <w:sz w:val="24"/>
          <w:highlight w:val="none"/>
        </w:rPr>
        <w:t xml:space="preserve">十五、争议解决</w:t>
      </w:r>
      <w:r/>
    </w:p>
    <w:p>
      <w:pPr>
        <w:ind w:firstLine="480"/>
        <w:rPr>
          <w:rFonts w:hint="eastAsia"/>
          <w:color w:val="auto"/>
          <w:sz w:val="24"/>
          <w:highlight w:val="none"/>
        </w:rPr>
      </w:pPr>
      <w:r>
        <w:rPr>
          <w:rFonts w:hint="eastAsia"/>
          <w:color w:val="auto"/>
          <w:sz w:val="24"/>
          <w:highlight w:val="none"/>
        </w:rPr>
        <w:t xml:space="preserve">15.1 双方在执行合同中所发生的一切争议，应通过协商解决。如协商不成，按下列第</w:t>
      </w:r>
      <w:r>
        <w:rPr>
          <w:rFonts w:hint="eastAsia"/>
          <w:color w:val="auto"/>
          <w:sz w:val="24"/>
          <w:highlight w:val="none"/>
          <w:u w:val="single"/>
        </w:rPr>
        <w:t xml:space="preserve">（1）</w:t>
      </w:r>
      <w:r>
        <w:rPr>
          <w:rFonts w:hint="eastAsia"/>
          <w:color w:val="auto"/>
          <w:sz w:val="24"/>
          <w:highlight w:val="none"/>
        </w:rPr>
        <w:t xml:space="preserve">种方式解决：</w:t>
      </w:r>
      <w:r/>
    </w:p>
    <w:p>
      <w:pPr>
        <w:ind w:firstLine="480"/>
        <w:rPr>
          <w:rFonts w:hint="eastAsia"/>
          <w:color w:val="auto"/>
          <w:sz w:val="24"/>
          <w:highlight w:val="none"/>
        </w:rPr>
      </w:pPr>
      <w:r>
        <w:rPr>
          <w:rFonts w:hint="eastAsia"/>
          <w:color w:val="auto"/>
          <w:sz w:val="24"/>
          <w:highlight w:val="none"/>
        </w:rPr>
        <w:t xml:space="preserve">（1）向连云港仲裁委员会申请仲裁。</w:t>
      </w:r>
      <w:r/>
    </w:p>
    <w:p>
      <w:pPr>
        <w:ind w:firstLine="480"/>
        <w:rPr>
          <w:color w:val="auto"/>
          <w:sz w:val="24"/>
          <w:highlight w:val="none"/>
        </w:rPr>
      </w:pPr>
      <w:r>
        <w:rPr>
          <w:rFonts w:hint="eastAsia"/>
          <w:color w:val="auto"/>
          <w:sz w:val="24"/>
          <w:highlight w:val="none"/>
        </w:rPr>
        <w:t xml:space="preserve">（2）向合同签订地法院起诉，合同签订地在此约定为连云港市。</w:t>
      </w:r>
      <w:r/>
    </w:p>
    <w:p>
      <w:pPr>
        <w:ind w:firstLine="482"/>
        <w:rPr>
          <w:b/>
          <w:bCs/>
          <w:color w:val="auto"/>
          <w:sz w:val="24"/>
          <w:highlight w:val="none"/>
        </w:rPr>
      </w:pPr>
      <w:r>
        <w:rPr>
          <w:rFonts w:hint="eastAsia"/>
          <w:b/>
          <w:bCs/>
          <w:color w:val="auto"/>
          <w:sz w:val="24"/>
          <w:highlight w:val="none"/>
        </w:rPr>
        <w:t xml:space="preserve">十六、合同生效及其它</w:t>
      </w:r>
      <w:r/>
    </w:p>
    <w:p>
      <w:pPr>
        <w:ind w:firstLine="480"/>
        <w:rPr>
          <w:color w:val="auto"/>
          <w:sz w:val="24"/>
          <w:highlight w:val="none"/>
        </w:rPr>
      </w:pPr>
      <w:r>
        <w:rPr>
          <w:rFonts w:hint="eastAsia"/>
          <w:color w:val="auto"/>
          <w:sz w:val="24"/>
          <w:highlight w:val="none"/>
        </w:rPr>
        <w:t xml:space="preserve">16.1 合同经双方法定代表人或授权委托代理人签名并加盖单位公章后生效。</w:t>
      </w:r>
      <w:r/>
    </w:p>
    <w:p>
      <w:pPr>
        <w:ind w:firstLine="480"/>
        <w:rPr>
          <w:color w:val="auto"/>
          <w:sz w:val="24"/>
          <w:highlight w:val="none"/>
        </w:rPr>
      </w:pPr>
      <w:r>
        <w:rPr>
          <w:rFonts w:hint="eastAsia"/>
          <w:color w:val="auto"/>
          <w:sz w:val="24"/>
          <w:highlight w:val="none"/>
        </w:rPr>
        <w:t xml:space="preserve">16.2 下述合同附件为本合同不可分割的部分并与本合同具有同等效力：</w:t>
      </w:r>
      <w:r/>
    </w:p>
    <w:p>
      <w:pPr>
        <w:ind w:firstLine="480"/>
        <w:rPr>
          <w:color w:val="auto"/>
          <w:sz w:val="24"/>
          <w:highlight w:val="none"/>
        </w:rPr>
      </w:pPr>
      <w:r>
        <w:rPr>
          <w:rFonts w:hint="eastAsia"/>
          <w:color w:val="auto"/>
          <w:sz w:val="24"/>
          <w:highlight w:val="none"/>
        </w:rPr>
        <w:t xml:space="preserve">（1）供货清单和分项价格表</w:t>
      </w:r>
      <w:r/>
    </w:p>
    <w:p>
      <w:pPr>
        <w:ind w:firstLine="480"/>
        <w:rPr>
          <w:color w:val="auto"/>
          <w:sz w:val="24"/>
          <w:highlight w:val="none"/>
        </w:rPr>
      </w:pPr>
      <w:r>
        <w:rPr>
          <w:rFonts w:hint="eastAsia"/>
          <w:color w:val="auto"/>
          <w:sz w:val="24"/>
          <w:highlight w:val="none"/>
        </w:rPr>
        <w:t xml:space="preserve">（2）技术规格</w:t>
      </w:r>
      <w:r/>
    </w:p>
    <w:p>
      <w:pPr>
        <w:ind w:firstLine="480"/>
        <w:rPr>
          <w:color w:val="auto"/>
          <w:sz w:val="24"/>
          <w:highlight w:val="none"/>
        </w:rPr>
      </w:pPr>
      <w:r>
        <w:rPr>
          <w:rFonts w:hint="eastAsia"/>
          <w:color w:val="auto"/>
          <w:sz w:val="24"/>
          <w:highlight w:val="none"/>
        </w:rPr>
        <w:t xml:space="preserve">（3）乙方报价函的内容及其澄清内容</w:t>
      </w:r>
      <w:r/>
    </w:p>
    <w:p>
      <w:pPr>
        <w:ind w:firstLine="480"/>
        <w:rPr>
          <w:color w:val="auto"/>
          <w:sz w:val="24"/>
          <w:highlight w:val="none"/>
        </w:rPr>
      </w:pPr>
      <w:r>
        <w:rPr>
          <w:rFonts w:hint="eastAsia"/>
          <w:color w:val="auto"/>
          <w:sz w:val="24"/>
          <w:highlight w:val="none"/>
        </w:rPr>
        <w:t xml:space="preserve">（4）其他与本合同相关的资料</w:t>
      </w:r>
      <w:r/>
    </w:p>
    <w:p>
      <w:pPr>
        <w:ind w:firstLine="480"/>
        <w:rPr>
          <w:color w:val="auto"/>
          <w:sz w:val="24"/>
          <w:highlight w:val="none"/>
        </w:rPr>
      </w:pPr>
      <w:r>
        <w:rPr>
          <w:rFonts w:hint="eastAsia"/>
          <w:color w:val="auto"/>
          <w:sz w:val="24"/>
          <w:highlight w:val="none"/>
        </w:rPr>
        <w:t xml:space="preserve">（5）本合同适用的特殊条款</w:t>
      </w:r>
      <w:r/>
    </w:p>
    <w:p>
      <w:pPr>
        <w:ind w:firstLine="480"/>
        <w:rPr>
          <w:color w:val="auto"/>
          <w:sz w:val="24"/>
          <w:highlight w:val="none"/>
        </w:rPr>
      </w:pPr>
      <w:r>
        <w:rPr>
          <w:rFonts w:hint="eastAsia"/>
          <w:color w:val="auto"/>
          <w:sz w:val="24"/>
          <w:highlight w:val="none"/>
        </w:rPr>
        <w:t xml:space="preserve">16.3 本合同未尽事宜，遵照《中华人民共和国民法典》有关条文执行。</w:t>
      </w:r>
      <w:r/>
    </w:p>
    <w:p>
      <w:pPr>
        <w:ind w:firstLine="480"/>
        <w:rPr>
          <w:color w:val="auto"/>
          <w:sz w:val="24"/>
          <w:highlight w:val="none"/>
        </w:rPr>
      </w:pPr>
      <w:r>
        <w:rPr>
          <w:rFonts w:hint="eastAsia"/>
          <w:color w:val="auto"/>
          <w:sz w:val="24"/>
          <w:highlight w:val="none"/>
        </w:rPr>
        <w:t xml:space="preserve">16.4 本合同正本一式六份，具有同等法律效力，甲方、乙方、见证方各执一份，采购人报一份至政府采购监督管理部门。</w:t>
      </w:r>
      <w:r/>
    </w:p>
    <w:p>
      <w:pPr>
        <w:pStyle w:val="1035"/>
        <w:ind w:firstLine="360"/>
        <w:jc w:val="left"/>
        <w:rPr>
          <w:rFonts w:hint="eastAsia" w:hAnsi="宋体"/>
          <w:color w:val="auto"/>
          <w:sz w:val="24"/>
          <w:szCs w:val="24"/>
          <w:highlight w:val="none"/>
        </w:rPr>
      </w:pPr>
      <w:r>
        <w:rPr>
          <w:rFonts w:hint="eastAsia" w:hAnsi="宋体"/>
          <w:color w:val="auto"/>
          <w:sz w:val="24"/>
          <w:szCs w:val="24"/>
          <w:highlight w:val="none"/>
        </w:rPr>
      </w:r>
      <w:r/>
    </w:p>
    <w:p>
      <w:pPr>
        <w:pStyle w:val="1035"/>
        <w:ind w:firstLine="480"/>
        <w:jc w:val="left"/>
        <w:rPr>
          <w:rFonts w:hAnsi="宋体"/>
          <w:color w:val="auto"/>
          <w:sz w:val="24"/>
          <w:szCs w:val="24"/>
          <w:highlight w:val="none"/>
        </w:rPr>
      </w:pPr>
      <w:r>
        <w:rPr>
          <w:rFonts w:hint="eastAsia" w:hAnsi="宋体"/>
          <w:color w:val="auto"/>
          <w:sz w:val="24"/>
          <w:szCs w:val="24"/>
          <w:highlight w:val="none"/>
        </w:rPr>
        <w:t xml:space="preserve">甲方：                                  乙方：                     </w:t>
      </w:r>
      <w:r/>
    </w:p>
    <w:p>
      <w:pPr>
        <w:pStyle w:val="1035"/>
        <w:ind w:firstLine="480"/>
        <w:jc w:val="left"/>
        <w:rPr>
          <w:rFonts w:hint="eastAsia" w:hAnsi="宋体"/>
          <w:color w:val="auto"/>
          <w:sz w:val="24"/>
          <w:szCs w:val="24"/>
          <w:highlight w:val="none"/>
        </w:rPr>
      </w:pPr>
      <w:r>
        <w:rPr>
          <w:rFonts w:hint="eastAsia" w:hAnsi="宋体"/>
          <w:color w:val="auto"/>
          <w:sz w:val="24"/>
          <w:szCs w:val="24"/>
          <w:highlight w:val="none"/>
        </w:rPr>
        <w:t xml:space="preserve">地址：                                  地址：                     </w:t>
      </w:r>
      <w:r/>
    </w:p>
    <w:p>
      <w:pPr>
        <w:pStyle w:val="1035"/>
        <w:ind w:firstLine="480"/>
        <w:jc w:val="left"/>
        <w:rPr>
          <w:rFonts w:hAnsi="宋体"/>
          <w:color w:val="auto"/>
          <w:sz w:val="24"/>
          <w:szCs w:val="24"/>
          <w:highlight w:val="none"/>
        </w:rPr>
      </w:pPr>
      <w:r>
        <w:rPr>
          <w:rFonts w:hint="eastAsia" w:hAnsi="宋体"/>
          <w:color w:val="auto"/>
          <w:sz w:val="24"/>
          <w:szCs w:val="24"/>
          <w:highlight w:val="none"/>
        </w:rPr>
        <w:t xml:space="preserve">法定代表人：                            法定代表人：               </w:t>
      </w:r>
      <w:r/>
    </w:p>
    <w:p>
      <w:pPr>
        <w:pStyle w:val="1035"/>
        <w:ind w:firstLine="480"/>
        <w:jc w:val="left"/>
        <w:rPr>
          <w:rFonts w:hAnsi="宋体"/>
          <w:color w:val="auto"/>
          <w:sz w:val="24"/>
          <w:szCs w:val="24"/>
          <w:highlight w:val="none"/>
        </w:rPr>
      </w:pPr>
      <w:r>
        <w:rPr>
          <w:rFonts w:hint="eastAsia" w:hAnsi="宋体"/>
          <w:color w:val="auto"/>
          <w:sz w:val="24"/>
          <w:szCs w:val="24"/>
          <w:highlight w:val="none"/>
        </w:rPr>
        <w:t xml:space="preserve">委托代理人：                            委托代理人：           </w:t>
      </w:r>
      <w:r/>
    </w:p>
    <w:p>
      <w:pPr>
        <w:pStyle w:val="1035"/>
        <w:ind w:firstLine="480"/>
        <w:jc w:val="left"/>
        <w:rPr>
          <w:rFonts w:hAnsi="宋体"/>
          <w:color w:val="auto"/>
          <w:sz w:val="24"/>
          <w:szCs w:val="24"/>
          <w:highlight w:val="none"/>
        </w:rPr>
      </w:pPr>
      <w:r>
        <w:rPr>
          <w:rFonts w:hint="eastAsia" w:hAnsi="宋体"/>
          <w:color w:val="auto"/>
          <w:sz w:val="24"/>
          <w:szCs w:val="24"/>
          <w:highlight w:val="none"/>
        </w:rPr>
        <w:t xml:space="preserve">电话：                                  电话：                     </w:t>
      </w:r>
      <w:r/>
    </w:p>
    <w:p>
      <w:pPr>
        <w:pStyle w:val="1035"/>
        <w:ind w:firstLine="480"/>
        <w:jc w:val="left"/>
        <w:rPr>
          <w:rFonts w:hAnsi="宋体"/>
          <w:color w:val="auto"/>
          <w:sz w:val="24"/>
          <w:szCs w:val="24"/>
          <w:highlight w:val="none"/>
        </w:rPr>
      </w:pPr>
      <w:r>
        <w:rPr>
          <w:rFonts w:hint="eastAsia" w:hAnsi="宋体"/>
          <w:color w:val="auto"/>
          <w:sz w:val="24"/>
          <w:szCs w:val="24"/>
          <w:highlight w:val="none"/>
        </w:rPr>
        <w:t xml:space="preserve">传真：                                  传真：                     </w:t>
      </w:r>
      <w:r/>
    </w:p>
    <w:p>
      <w:pPr>
        <w:pStyle w:val="1035"/>
        <w:ind w:firstLine="480"/>
        <w:jc w:val="left"/>
        <w:rPr>
          <w:rFonts w:hint="eastAsia" w:hAnsi="宋体"/>
          <w:color w:val="auto"/>
          <w:sz w:val="24"/>
          <w:szCs w:val="24"/>
          <w:highlight w:val="none"/>
        </w:rPr>
      </w:pPr>
      <w:r>
        <w:rPr>
          <w:rFonts w:hint="eastAsia" w:hAnsi="宋体"/>
          <w:color w:val="auto"/>
          <w:sz w:val="24"/>
          <w:szCs w:val="24"/>
          <w:highlight w:val="none"/>
        </w:rPr>
        <w:t xml:space="preserve">签订日期：      年  月  日</w:t>
      </w:r>
      <w:r/>
    </w:p>
    <w:p>
      <w:pPr>
        <w:pStyle w:val="1035"/>
        <w:ind w:firstLine="360"/>
        <w:jc w:val="left"/>
        <w:rPr>
          <w:rFonts w:hint="eastAsia" w:hAnsi="宋体"/>
          <w:color w:val="auto"/>
          <w:sz w:val="24"/>
          <w:szCs w:val="24"/>
          <w:highlight w:val="none"/>
        </w:rPr>
      </w:pPr>
      <w:r>
        <w:rPr>
          <w:rFonts w:hint="eastAsia" w:hAnsi="宋体"/>
          <w:color w:val="auto"/>
          <w:sz w:val="24"/>
          <w:szCs w:val="24"/>
          <w:highlight w:val="none"/>
        </w:rPr>
      </w:r>
      <w:r/>
    </w:p>
    <w:p>
      <w:pPr>
        <w:pStyle w:val="1035"/>
        <w:ind w:firstLine="360"/>
        <w:jc w:val="left"/>
        <w:rPr>
          <w:rFonts w:hint="eastAsia" w:hAnsi="宋体"/>
          <w:color w:val="auto"/>
          <w:sz w:val="24"/>
          <w:szCs w:val="24"/>
          <w:highlight w:val="none"/>
        </w:rPr>
      </w:pPr>
      <w:r>
        <w:rPr>
          <w:rFonts w:hint="eastAsia" w:hAnsi="宋体"/>
          <w:color w:val="auto"/>
          <w:sz w:val="24"/>
          <w:szCs w:val="24"/>
          <w:highlight w:val="none"/>
        </w:rPr>
      </w:r>
      <w:r/>
    </w:p>
    <w:p>
      <w:pPr>
        <w:pStyle w:val="1035"/>
        <w:ind w:firstLine="360"/>
        <w:jc w:val="left"/>
        <w:rPr>
          <w:rFonts w:hint="eastAsia" w:hAnsi="宋体"/>
          <w:color w:val="auto"/>
          <w:sz w:val="24"/>
          <w:szCs w:val="24"/>
          <w:highlight w:val="none"/>
        </w:rPr>
      </w:pPr>
      <w:r>
        <w:rPr>
          <w:rFonts w:hint="eastAsia" w:hAnsi="宋体"/>
          <w:color w:val="auto"/>
          <w:sz w:val="24"/>
          <w:szCs w:val="24"/>
          <w:highlight w:val="none"/>
        </w:rPr>
      </w:r>
      <w:r/>
    </w:p>
    <w:p>
      <w:pPr>
        <w:pStyle w:val="1035"/>
        <w:ind w:firstLine="360"/>
        <w:jc w:val="left"/>
        <w:rPr>
          <w:rFonts w:hint="eastAsia" w:hAnsi="宋体"/>
          <w:color w:val="auto"/>
          <w:sz w:val="24"/>
          <w:szCs w:val="24"/>
          <w:highlight w:val="none"/>
        </w:rPr>
      </w:pPr>
      <w:r>
        <w:rPr>
          <w:rFonts w:hint="eastAsia" w:hAnsi="宋体"/>
          <w:color w:val="auto"/>
          <w:sz w:val="24"/>
          <w:szCs w:val="24"/>
          <w:highlight w:val="none"/>
        </w:rPr>
      </w:r>
      <w:r/>
    </w:p>
    <w:p>
      <w:pPr>
        <w:pStyle w:val="1035"/>
        <w:ind w:firstLine="480"/>
        <w:jc w:val="left"/>
        <w:rPr>
          <w:rFonts w:hint="eastAsia" w:hAnsi="宋体"/>
          <w:color w:val="auto"/>
          <w:sz w:val="24"/>
          <w:szCs w:val="24"/>
          <w:highlight w:val="none"/>
        </w:rPr>
      </w:pPr>
      <w:r>
        <w:rPr>
          <w:rFonts w:hint="eastAsia" w:hAnsi="宋体"/>
          <w:color w:val="auto"/>
          <w:sz w:val="24"/>
          <w:szCs w:val="24"/>
          <w:highlight w:val="none"/>
        </w:rPr>
        <w:t xml:space="preserve">见 证 方：          </w:t>
      </w:r>
      <w:r/>
    </w:p>
    <w:p>
      <w:pPr>
        <w:pStyle w:val="1015"/>
        <w:numPr>
          <w:ilvl w:val="0"/>
          <w:numId w:val="0"/>
        </w:numPr>
        <w:rPr>
          <w:rFonts w:hint="eastAsia" w:ascii="Times New Roman" w:hAnsi="宋体" w:cs="Times New Roman"/>
          <w:b/>
          <w:color w:val="auto"/>
          <w:highlight w:val="none"/>
        </w:rPr>
      </w:pPr>
      <w:r>
        <w:rPr>
          <w:rFonts w:hAnsi="宋体"/>
          <w:color w:val="auto"/>
          <w:szCs w:val="24"/>
          <w:highlight w:val="none"/>
        </w:rPr>
        <w:br w:type="page" w:clear="all"/>
      </w:r>
      <w:bookmarkStart w:id="13" w:name="_Toc3871"/>
      <w:r/>
      <w:bookmarkStart w:id="14" w:name="_Toc513622229"/>
      <w:r/>
      <w:bookmarkStart w:id="15" w:name="_Toc139966428"/>
      <w:r/>
      <w:bookmarkStart w:id="16" w:name="_Toc139967212"/>
      <w:r>
        <w:rPr>
          <w:rFonts w:hint="eastAsia" w:ascii="Times New Roman" w:hAnsi="宋体" w:cs="Times New Roman"/>
          <w:b/>
          <w:color w:val="auto"/>
          <w:highlight w:val="none"/>
        </w:rPr>
        <w:t xml:space="preserve">第</w:t>
      </w:r>
      <w:r>
        <w:rPr>
          <w:rFonts w:hint="eastAsia" w:ascii="Times New Roman" w:hAnsi="宋体" w:cs="Times New Roman"/>
          <w:b/>
          <w:color w:val="auto"/>
          <w:highlight w:val="none"/>
          <w:lang w:eastAsia="zh-CN"/>
        </w:rPr>
        <w:t xml:space="preserve">四</w:t>
      </w:r>
      <w:r>
        <w:rPr>
          <w:rFonts w:hint="eastAsia" w:ascii="Times New Roman" w:hAnsi="宋体" w:cs="Times New Roman"/>
          <w:b/>
          <w:color w:val="auto"/>
          <w:highlight w:val="none"/>
        </w:rPr>
        <w:t xml:space="preserve">章  项目需求</w:t>
      </w:r>
      <w:bookmarkEnd w:id="13"/>
      <w:r/>
      <w:r/>
    </w:p>
    <w:p>
      <w:pPr>
        <w:numPr>
          <w:ilvl w:val="0"/>
          <w:numId w:val="3"/>
        </w:numPr>
        <w:ind w:firstLine="480"/>
        <w:keepLines w:val="0"/>
        <w:keepNext w:val="0"/>
        <w:pageBreakBefore w:val="0"/>
        <w:spacing w:line="360" w:lineRule="auto"/>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说明：本项目采购方式为公开招标，项目属性为货物，本项目采购标的对应的中小企业划分标准所属行业为</w:t>
      </w:r>
      <w:r>
        <w:rPr>
          <w:rFonts w:hint="eastAsia" w:ascii="宋体" w:hAnsi="宋体" w:cs="宋体"/>
          <w:b/>
          <w:color w:val="auto"/>
          <w:sz w:val="24"/>
          <w:highlight w:val="none"/>
          <w:u w:val="single"/>
        </w:rPr>
        <w:t xml:space="preserve">　工业</w:t>
      </w:r>
      <w:r>
        <w:rPr>
          <w:rFonts w:hint="eastAsia" w:ascii="宋体" w:hAnsi="宋体" w:cs="宋体"/>
          <w:b/>
          <w:color w:val="auto"/>
          <w:sz w:val="24"/>
          <w:highlight w:val="none"/>
          <w:u w:val="single"/>
          <w:lang w:eastAsia="zh-CN"/>
        </w:rPr>
        <w:t xml:space="preserve">、软件和信息技术服务业</w:t>
      </w:r>
      <w:r>
        <w:rPr>
          <w:rFonts w:hint="eastAsia" w:ascii="宋体" w:hAnsi="宋体" w:cs="宋体"/>
          <w:b/>
          <w:color w:val="auto"/>
          <w:sz w:val="24"/>
          <w:highlight w:val="none"/>
          <w:u w:val="single"/>
        </w:rPr>
        <w:t xml:space="preserve">　</w:t>
      </w:r>
      <w:r>
        <w:rPr>
          <w:rFonts w:hint="eastAsia" w:ascii="宋体" w:hAnsi="宋体" w:cs="宋体"/>
          <w:bCs/>
          <w:color w:val="auto"/>
          <w:sz w:val="24"/>
          <w:highlight w:val="none"/>
        </w:rPr>
        <w:t xml:space="preserve">。</w:t>
      </w:r>
      <w:r/>
    </w:p>
    <w:p>
      <w:pPr>
        <w:ind w:firstLine="482"/>
        <w:jc w:val="left"/>
        <w:keepLines w:val="0"/>
        <w:keepNext w:val="0"/>
        <w:pageBreakBefore w:val="0"/>
        <w:spacing w:line="360" w:lineRule="auto"/>
        <w:widowControl w:val="off"/>
        <w:rPr>
          <w:color w:val="auto"/>
          <w:sz w:val="24"/>
          <w:szCs w:val="24"/>
          <w:highlight w:val="none"/>
        </w:rPr>
      </w:pPr>
      <w:r>
        <w:rPr>
          <w:rFonts w:hint="eastAsia" w:ascii="宋体" w:hAnsi="宋体" w:cs="宋体"/>
          <w:b/>
          <w:color w:val="auto"/>
          <w:sz w:val="24"/>
          <w:highlight w:val="none"/>
        </w:rPr>
        <w:t xml:space="preserve">2、</w:t>
      </w:r>
      <w:r>
        <w:rPr>
          <w:rFonts w:hint="eastAsia"/>
          <w:b/>
          <w:color w:val="auto"/>
          <w:sz w:val="24"/>
          <w:szCs w:val="24"/>
          <w:highlight w:val="none"/>
        </w:rPr>
        <w:t xml:space="preserve">本招标文件中</w:t>
      </w:r>
      <w:r>
        <w:rPr>
          <w:rFonts w:hint="eastAsia"/>
          <w:b/>
          <w:i/>
          <w:color w:val="auto"/>
          <w:sz w:val="24"/>
          <w:szCs w:val="24"/>
          <w:highlight w:val="none"/>
          <w:u w:val="single"/>
        </w:rPr>
        <w:t xml:space="preserve">斜体且有下划线部分</w:t>
      </w:r>
      <w:r>
        <w:rPr>
          <w:rFonts w:hint="eastAsia"/>
          <w:b/>
          <w:color w:val="auto"/>
          <w:sz w:val="24"/>
          <w:szCs w:val="24"/>
          <w:highlight w:val="none"/>
        </w:rPr>
        <w:t xml:space="preserve">为实质性要求和条件</w:t>
      </w:r>
      <w:r>
        <w:rPr>
          <w:rFonts w:hint="eastAsia"/>
          <w:color w:val="auto"/>
          <w:sz w:val="24"/>
          <w:szCs w:val="24"/>
          <w:highlight w:val="none"/>
        </w:rPr>
        <w:t xml:space="preserve">，由采购人根据实际情况设置，投标人须逐条明确作出满足实质性要求和条件的响应，否则将按无效响应处理。</w:t>
      </w:r>
      <w:r/>
    </w:p>
    <w:p>
      <w:pPr>
        <w:ind w:firstLine="480"/>
        <w:jc w:val="left"/>
        <w:keepLines w:val="0"/>
        <w:keepNext w:val="0"/>
        <w:pageBreakBefore w:val="0"/>
        <w:spacing w:line="360" w:lineRule="auto"/>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3、本项目核心产品为</w:t>
      </w:r>
      <w:r>
        <w:rPr>
          <w:rFonts w:hint="eastAsia" w:ascii="宋体" w:hAnsi="宋体" w:cs="宋体"/>
          <w:b/>
          <w:color w:val="auto"/>
          <w:sz w:val="24"/>
          <w:highlight w:val="none"/>
        </w:rPr>
        <w:t xml:space="preserve">：</w:t>
      </w:r>
      <w:r>
        <w:rPr>
          <w:rFonts w:hint="eastAsia" w:ascii="宋体" w:hAnsi="宋体" w:cs="宋体"/>
          <w:b/>
          <w:color w:val="auto"/>
          <w:sz w:val="24"/>
          <w:highlight w:val="none"/>
          <w:lang w:eastAsia="zh-CN"/>
        </w:rPr>
        <w:t xml:space="preserve">“</w:t>
      </w:r>
      <w:r>
        <w:rPr>
          <w:rFonts w:hint="eastAsia" w:ascii="宋体" w:hAnsi="宋体" w:eastAsia="宋体" w:cs="宋体"/>
          <w:b/>
          <w:color w:val="auto"/>
          <w:sz w:val="24"/>
          <w:highlight w:val="none"/>
          <w:u w:val="single"/>
          <w:lang w:val="en-US" w:eastAsia="zh-CN"/>
        </w:rPr>
        <w:t xml:space="preserve">高清虚拟演播室工作站</w:t>
      </w:r>
      <w:r>
        <w:rPr>
          <w:rFonts w:hint="eastAsia" w:ascii="宋体" w:hAnsi="宋体" w:cs="宋体"/>
          <w:b/>
          <w:color w:val="auto"/>
          <w:sz w:val="24"/>
          <w:highlight w:val="none"/>
          <w:lang w:eastAsia="zh-CN"/>
        </w:rPr>
        <w:t xml:space="preserve">”</w:t>
      </w:r>
      <w:r>
        <w:rPr>
          <w:rFonts w:hint="eastAsia" w:ascii="宋体" w:hAnsi="宋体" w:cs="宋体"/>
          <w:bCs/>
          <w:color w:val="auto"/>
          <w:sz w:val="24"/>
          <w:highlight w:val="none"/>
        </w:rPr>
        <w:t xml:space="preserve">。</w:t>
      </w:r>
      <w:r/>
    </w:p>
    <w:p>
      <w:pPr>
        <w:ind w:firstLine="480"/>
        <w:keepLines w:val="0"/>
        <w:keepNext w:val="0"/>
        <w:pageBreakBefore w:val="0"/>
        <w:spacing w:line="360" w:lineRule="auto"/>
        <w:widowControl w:val="off"/>
        <w:rPr>
          <w:rFonts w:hint="eastAsia" w:ascii="宋体" w:hAnsi="宋体" w:eastAsia="宋体" w:cs="Times New Roman"/>
          <w:color w:val="auto"/>
          <w:sz w:val="24"/>
          <w:highlight w:val="none"/>
          <w:lang w:val="en-US" w:eastAsia="zh-CN"/>
        </w:rPr>
      </w:pPr>
      <w:r>
        <w:rPr>
          <w:rFonts w:hint="eastAsia" w:ascii="宋体" w:hAnsi="宋体" w:cs="宋体"/>
          <w:bCs/>
          <w:color w:val="auto"/>
          <w:sz w:val="24"/>
          <w:highlight w:val="none"/>
        </w:rPr>
        <w:t xml:space="preserve">4、采购需求：</w:t>
      </w:r>
      <w:r>
        <w:rPr>
          <w:rFonts w:hint="eastAsia" w:ascii="宋体" w:hAnsi="宋体" w:cs="Times New Roman"/>
          <w:color w:val="auto"/>
          <w:sz w:val="24"/>
          <w:highlight w:val="none"/>
          <w:lang w:val="en-US" w:eastAsia="zh-CN"/>
        </w:rPr>
        <w:t xml:space="preserve">海州湾小学信息化及安全设备采购</w:t>
      </w:r>
      <w:r>
        <w:rPr>
          <w:rFonts w:hint="eastAsia" w:ascii="宋体" w:hAnsi="宋体" w:eastAsia="宋体" w:cs="Times New Roman"/>
          <w:color w:val="auto"/>
          <w:sz w:val="24"/>
          <w:highlight w:val="none"/>
          <w:lang w:val="en-US" w:eastAsia="zh-CN"/>
        </w:rPr>
        <w:t xml:space="preserve">；具体内容详见第四章项目需求。</w:t>
      </w:r>
      <w:r/>
    </w:p>
    <w:p>
      <w:pPr>
        <w:numPr>
          <w:ilvl w:val="0"/>
          <w:numId w:val="0"/>
        </w:numPr>
        <w:ind w:firstLine="241"/>
        <w:keepLines w:val="0"/>
        <w:keepNext w:val="0"/>
        <w:pageBreakBefore w:val="0"/>
        <w:spacing w:line="360" w:lineRule="auto"/>
        <w:widowControl w:val="off"/>
        <w:rPr>
          <w:rFonts w:hint="eastAsia" w:ascii="宋体" w:hAnsi="宋体" w:cs="宋体"/>
          <w:b/>
          <w:color w:val="auto"/>
          <w:sz w:val="24"/>
          <w:highlight w:val="none"/>
        </w:rPr>
      </w:pPr>
      <w:r>
        <w:rPr>
          <w:rFonts w:hint="eastAsia" w:ascii="宋体" w:hAnsi="宋体" w:cs="宋体"/>
          <w:b/>
          <w:color w:val="auto"/>
          <w:sz w:val="24"/>
          <w:highlight w:val="none"/>
          <w:lang w:eastAsia="zh-CN"/>
        </w:rPr>
        <w:t xml:space="preserve">一、</w:t>
      </w:r>
      <w:r>
        <w:rPr>
          <w:rFonts w:hint="eastAsia" w:ascii="宋体" w:hAnsi="宋体" w:cs="宋体"/>
          <w:b/>
          <w:color w:val="auto"/>
          <w:sz w:val="24"/>
          <w:highlight w:val="none"/>
        </w:rPr>
        <w:t xml:space="preserve">货物（标的）采购清单</w:t>
      </w:r>
      <w:r/>
    </w:p>
    <w:tbl>
      <w:tblPr>
        <w:tblStyle w:val="844"/>
        <w:tblW w:w="10110" w:type="dxa"/>
        <w:tblInd w:w="-15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21"/>
        <w:gridCol w:w="3123"/>
        <w:gridCol w:w="1545"/>
        <w:gridCol w:w="1715"/>
        <w:gridCol w:w="2706"/>
      </w:tblGrid>
      <w:tr>
        <w:trPr>
          <w:trHeight w:val="398"/>
        </w:trPr>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3123"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设备名称</w:t>
            </w:r>
            <w:r/>
          </w:p>
        </w:tc>
        <w:tc>
          <w:tcPr>
            <w:shd w:val="clear" w:color="auto" w:fill="ffffff"/>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中小企业划分标准所属行业</w:t>
            </w:r>
            <w:r/>
          </w:p>
        </w:tc>
      </w:tr>
      <w:tr>
        <w:trPr>
          <w:trHeight w:val="398"/>
        </w:trPr>
        <w:tc>
          <w:tcPr>
            <w:gridSpan w:val="4"/>
            <w:shd w:val="clear" w:color="auto" w:fill="ffffff"/>
            <w:tcBorders>
              <w:top w:val="single" w:color="000000" w:sz="4" w:space="0"/>
              <w:left w:val="single" w:color="000000" w:sz="4" w:space="0"/>
              <w:bottom w:val="single" w:color="000000" w:sz="4" w:space="0"/>
              <w:right w:val="none" w:color="000000" w:sz="4" w:space="0"/>
            </w:tcBorders>
            <w:tcW w:w="7404"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cs="宋体"/>
                <w:b/>
                <w:bCs/>
                <w:i w:val="0"/>
                <w:iCs w:val="0"/>
                <w:color w:val="auto"/>
                <w:sz w:val="22"/>
                <w:szCs w:val="22"/>
                <w:highlight w:val="none"/>
                <w:u w:val="none"/>
                <w:lang w:val="en-US" w:eastAsia="zh-CN" w:bidi="ar"/>
              </w:rPr>
              <w:t xml:space="preserve">                 </w:t>
            </w:r>
            <w:r>
              <w:rPr>
                <w:rFonts w:hint="eastAsia" w:ascii="宋体" w:hAnsi="宋体" w:eastAsia="宋体" w:cs="宋体"/>
                <w:b/>
                <w:bCs/>
                <w:i w:val="0"/>
                <w:iCs w:val="0"/>
                <w:color w:val="auto"/>
                <w:sz w:val="22"/>
                <w:szCs w:val="22"/>
                <w:highlight w:val="none"/>
                <w:u w:val="none"/>
                <w:lang w:val="en-US" w:eastAsia="zh-CN" w:bidi="ar"/>
              </w:rPr>
              <w:t xml:space="preserve">数字音乐创客教室</w:t>
            </w:r>
            <w:r/>
          </w:p>
        </w:tc>
        <w:tc>
          <w:tcPr>
            <w:shd w:val="clear" w:color="auto" w:fill="ffffff"/>
            <w:tcBorders>
              <w:top w:val="single" w:color="000000" w:sz="4" w:space="0"/>
              <w:left w:val="single" w:color="000000" w:sz="4" w:space="0"/>
              <w:bottom w:val="single" w:color="000000" w:sz="4" w:space="0"/>
              <w:right w:val="none" w:color="000000" w:sz="4" w:space="0"/>
            </w:tcBorders>
            <w:tcW w:w="270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b/>
                <w:bCs/>
                <w:i w:val="0"/>
                <w:iCs w:val="0"/>
                <w:color w:val="auto"/>
                <w:sz w:val="22"/>
                <w:szCs w:val="22"/>
                <w:highlight w:val="none"/>
                <w:u w:val="none"/>
                <w:lang w:val="en-US" w:eastAsia="zh-CN" w:bidi="ar"/>
              </w:rPr>
              <w:suppressLineNumbers w:val="0"/>
            </w:pPr>
            <w:r>
              <w:rPr>
                <w:rFonts w:hint="eastAsia" w:ascii="宋体" w:hAnsi="宋体" w:eastAsia="宋体" w:cs="宋体"/>
                <w:b/>
                <w:bCs/>
                <w:i w:val="0"/>
                <w:iCs w:val="0"/>
                <w:color w:val="auto"/>
                <w:sz w:val="22"/>
                <w:szCs w:val="22"/>
                <w:highlight w:val="none"/>
                <w:u w:val="none"/>
                <w:lang w:val="en-US" w:eastAsia="zh-CN" w:bidi="ar"/>
              </w:rPr>
            </w:r>
            <w:r/>
          </w:p>
        </w:tc>
      </w:tr>
      <w:tr>
        <w:trPr>
          <w:trHeight w:val="398"/>
        </w:trPr>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23"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教师操作管理主机</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工业</w:t>
            </w:r>
            <w:r/>
          </w:p>
        </w:tc>
      </w:tr>
      <w:tr>
        <w:trPr>
          <w:trHeight w:val="398"/>
        </w:trPr>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23"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主控操作台</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工业</w:t>
            </w:r>
            <w:r/>
          </w:p>
        </w:tc>
      </w:tr>
      <w:tr>
        <w:trPr>
          <w:trHeight w:val="398"/>
        </w:trPr>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123"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教师专用电钢琴</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工业</w:t>
            </w:r>
            <w:r/>
          </w:p>
        </w:tc>
      </w:tr>
      <w:tr>
        <w:trPr>
          <w:trHeight w:val="398"/>
        </w:trPr>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123"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教师专用声卡</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工业</w:t>
            </w:r>
            <w:r/>
          </w:p>
        </w:tc>
      </w:tr>
      <w:tr>
        <w:trPr>
          <w:trHeight w:val="398"/>
        </w:trPr>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123"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教师专用音箱</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工业</w:t>
            </w:r>
            <w:r/>
          </w:p>
        </w:tc>
      </w:tr>
      <w:tr>
        <w:trPr>
          <w:trHeight w:val="398"/>
        </w:trPr>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123"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教师机鼠标键盘套装</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工业</w:t>
            </w:r>
            <w:r/>
          </w:p>
        </w:tc>
      </w:tr>
      <w:tr>
        <w:trPr>
          <w:trHeight w:val="398"/>
        </w:trPr>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123"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教师椅</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工业</w:t>
            </w:r>
            <w:r/>
          </w:p>
        </w:tc>
      </w:tr>
      <w:tr>
        <w:trPr>
          <w:trHeight w:val="398"/>
        </w:trPr>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123"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音乐互动教学软件-学生端</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软件和信息技术服务业</w:t>
            </w:r>
            <w:r/>
          </w:p>
        </w:tc>
      </w:tr>
      <w:tr>
        <w:trPr>
          <w:trHeight w:val="398"/>
        </w:trPr>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123"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音乐互动教学软件-教师端</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软件和信息技术服务业</w:t>
            </w:r>
            <w:r/>
          </w:p>
        </w:tc>
      </w:tr>
      <w:tr>
        <w:trPr>
          <w:trHeight w:val="398"/>
        </w:trPr>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123"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学生操作机</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工业</w:t>
            </w:r>
            <w:r/>
          </w:p>
        </w:tc>
      </w:tr>
      <w:tr>
        <w:trPr>
          <w:trHeight w:val="398"/>
        </w:trPr>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123"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学生操作台</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工业</w:t>
            </w:r>
            <w:r/>
          </w:p>
        </w:tc>
      </w:tr>
      <w:tr>
        <w:trPr>
          <w:trHeight w:val="398"/>
        </w:trPr>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123"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学生凳</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工业</w:t>
            </w:r>
            <w:r/>
          </w:p>
        </w:tc>
      </w:tr>
      <w:tr>
        <w:trPr>
          <w:trHeight w:val="398"/>
        </w:trPr>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123"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学生耳机</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工业</w:t>
            </w:r>
            <w:r/>
          </w:p>
        </w:tc>
      </w:tr>
      <w:tr>
        <w:trPr>
          <w:trHeight w:val="398"/>
        </w:trPr>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123"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网络交换机</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工业</w:t>
            </w:r>
            <w:r/>
          </w:p>
        </w:tc>
      </w:tr>
      <w:tr>
        <w:trPr>
          <w:trHeight w:val="398"/>
        </w:trPr>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123"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网络机柜</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工业</w:t>
            </w:r>
            <w:r/>
          </w:p>
        </w:tc>
      </w:tr>
      <w:tr>
        <w:trPr>
          <w:trHeight w:val="398"/>
        </w:trPr>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123"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一拖二无线话筒</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工业</w:t>
            </w:r>
            <w:r/>
          </w:p>
        </w:tc>
      </w:tr>
      <w:tr>
        <w:trPr>
          <w:trHeight w:val="398"/>
        </w:trPr>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123"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调音台</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工业</w:t>
            </w:r>
            <w:r/>
          </w:p>
        </w:tc>
      </w:tr>
      <w:tr>
        <w:trPr>
          <w:trHeight w:val="540"/>
        </w:trPr>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123" w:type="dxa"/>
            <w:vAlign w:val="center"/>
            <w:textDirection w:val="lrTb"/>
            <w:noWrap w:val="false"/>
          </w:tcPr>
          <w:p>
            <w:pPr>
              <w:ind w:firstLine="0"/>
              <w:jc w:val="left"/>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防静电地板</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m²</w:t>
            </w:r>
            <w:r/>
          </w:p>
        </w:tc>
        <w:tc>
          <w:tcPr>
            <w:shd w:val="clear" w:color="auto" w:fill="auto"/>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工业</w:t>
            </w:r>
            <w:r/>
          </w:p>
        </w:tc>
      </w:tr>
      <w:tr>
        <w:trPr>
          <w:trHeight w:val="398"/>
        </w:trPr>
        <w:tc>
          <w:tcPr>
            <w:gridSpan w:val="4"/>
            <w:shd w:val="clear" w:color="auto" w:fill="auto"/>
            <w:tcBorders>
              <w:top w:val="single" w:color="000000" w:sz="4" w:space="0"/>
              <w:left w:val="single" w:color="000000" w:sz="4" w:space="0"/>
              <w:bottom w:val="single" w:color="000000" w:sz="4" w:space="0"/>
              <w:right w:val="none" w:color="000000" w:sz="4" w:space="0"/>
            </w:tcBorders>
            <w:tcW w:w="7404"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cs="宋体"/>
                <w:b/>
                <w:bCs/>
                <w:i w:val="0"/>
                <w:iCs w:val="0"/>
                <w:color w:val="auto"/>
                <w:sz w:val="22"/>
                <w:szCs w:val="22"/>
                <w:highlight w:val="none"/>
                <w:u w:val="none"/>
                <w:lang w:val="en-US" w:eastAsia="zh-CN" w:bidi="ar"/>
              </w:rPr>
              <w:t xml:space="preserve">             </w:t>
            </w:r>
            <w:r>
              <w:rPr>
                <w:rFonts w:hint="eastAsia" w:ascii="宋体" w:hAnsi="宋体" w:eastAsia="宋体" w:cs="宋体"/>
                <w:b/>
                <w:bCs/>
                <w:i w:val="0"/>
                <w:iCs w:val="0"/>
                <w:color w:val="auto"/>
                <w:sz w:val="22"/>
                <w:szCs w:val="22"/>
                <w:highlight w:val="none"/>
                <w:u w:val="none"/>
                <w:lang w:val="en-US" w:eastAsia="zh-CN" w:bidi="ar"/>
              </w:rPr>
              <w:t xml:space="preserve">机房</w:t>
            </w:r>
            <w:r/>
          </w:p>
        </w:tc>
        <w:tc>
          <w:tcPr>
            <w:shd w:val="clear" w:color="auto" w:fill="auto"/>
            <w:tcBorders>
              <w:top w:val="single" w:color="000000" w:sz="4" w:space="0"/>
              <w:left w:val="single" w:color="000000" w:sz="4" w:space="0"/>
              <w:bottom w:val="single" w:color="000000" w:sz="4" w:space="0"/>
              <w:right w:val="none" w:color="000000" w:sz="4" w:space="0"/>
            </w:tcBorders>
            <w:tcW w:w="2706"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397"/>
        </w:trPr>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23"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云主机</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706"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工业</w:t>
            </w:r>
            <w:r/>
          </w:p>
        </w:tc>
      </w:tr>
      <w:tr>
        <w:trPr>
          <w:trHeight w:val="397"/>
        </w:trPr>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23"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云主机授权软件</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2706"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软件和信息技术服务业</w:t>
            </w:r>
            <w:r/>
          </w:p>
        </w:tc>
      </w:tr>
      <w:tr>
        <w:trPr>
          <w:trHeight w:val="397"/>
        </w:trPr>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123"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教师机</w:t>
            </w:r>
            <w:r/>
          </w:p>
        </w:tc>
        <w:tc>
          <w:tcPr>
            <w:shd w:val="clear" w:color="auto" w:fill="auto"/>
            <w:tcBorders>
              <w:top w:val="none" w:color="000000" w:sz="4" w:space="0"/>
              <w:left w:val="single" w:color="000000" w:sz="4" w:space="0"/>
              <w:bottom w:val="none" w:color="000000" w:sz="4" w:space="0"/>
              <w:right w:val="single" w:color="000000" w:sz="4" w:space="0"/>
            </w:tcBorders>
            <w:tcW w:w="1545"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none" w:color="000000" w:sz="4" w:space="0"/>
              <w:left w:val="single" w:color="000000" w:sz="4" w:space="0"/>
              <w:bottom w:val="none" w:color="000000" w:sz="4" w:space="0"/>
              <w:right w:val="single" w:color="000000" w:sz="4" w:space="0"/>
            </w:tcBorders>
            <w:tcW w:w="1715"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none" w:color="000000" w:sz="4" w:space="0"/>
              <w:left w:val="single" w:color="000000" w:sz="4" w:space="0"/>
              <w:bottom w:val="none" w:color="000000" w:sz="4" w:space="0"/>
              <w:right w:val="single" w:color="000000" w:sz="4" w:space="0"/>
            </w:tcBorders>
            <w:tcW w:w="2706"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工业</w:t>
            </w:r>
            <w:r/>
          </w:p>
        </w:tc>
      </w:tr>
      <w:tr>
        <w:trPr>
          <w:trHeight w:val="397"/>
        </w:trPr>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123"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学生机</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706"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工业</w:t>
            </w:r>
            <w:r/>
          </w:p>
        </w:tc>
      </w:tr>
      <w:tr>
        <w:trPr>
          <w:trHeight w:val="397"/>
        </w:trPr>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123"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教学管理软件</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706"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软件和信息技术服务业</w:t>
            </w:r>
            <w:r/>
          </w:p>
        </w:tc>
      </w:tr>
      <w:tr>
        <w:trPr>
          <w:trHeight w:val="397"/>
        </w:trPr>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123"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互联光模块</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706"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工业</w:t>
            </w:r>
            <w:r/>
          </w:p>
        </w:tc>
      </w:tr>
      <w:tr>
        <w:trPr>
          <w:trHeight w:val="397"/>
        </w:trPr>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123"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48口交换机</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706"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工业</w:t>
            </w:r>
            <w:r/>
          </w:p>
        </w:tc>
      </w:tr>
      <w:tr>
        <w:trPr>
          <w:trHeight w:val="397"/>
        </w:trPr>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123"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24口交换机</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706"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工业</w:t>
            </w:r>
            <w:r/>
          </w:p>
        </w:tc>
      </w:tr>
      <w:tr>
        <w:trPr>
          <w:trHeight w:val="397"/>
        </w:trPr>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123"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键盘鼠标</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706"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工业</w:t>
            </w:r>
            <w:r/>
          </w:p>
        </w:tc>
      </w:tr>
      <w:tr>
        <w:trPr>
          <w:trHeight w:val="397"/>
        </w:trPr>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123"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静电地板</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2706"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工业</w:t>
            </w:r>
            <w:r/>
          </w:p>
        </w:tc>
      </w:tr>
      <w:tr>
        <w:trPr>
          <w:trHeight w:val="397"/>
        </w:trPr>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123"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课桌椅</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706"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工业</w:t>
            </w:r>
            <w:r/>
          </w:p>
        </w:tc>
      </w:tr>
      <w:tr>
        <w:trPr>
          <w:trHeight w:val="397"/>
        </w:trPr>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123"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机架式LC光纤配线架</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706"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工业</w:t>
            </w:r>
            <w:r/>
          </w:p>
        </w:tc>
      </w:tr>
      <w:tr>
        <w:trPr>
          <w:trHeight w:val="397"/>
        </w:trPr>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123"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超六类网线</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2706"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工业</w:t>
            </w:r>
            <w:r/>
          </w:p>
        </w:tc>
      </w:tr>
      <w:tr>
        <w:trPr>
          <w:trHeight w:val="397"/>
        </w:trPr>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123"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网络超六类跳线</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2706"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工业</w:t>
            </w:r>
            <w:r/>
          </w:p>
        </w:tc>
      </w:tr>
      <w:tr>
        <w:trPr>
          <w:trHeight w:val="398"/>
        </w:trPr>
        <w:tc>
          <w:tcPr>
            <w:gridSpan w:val="4"/>
            <w:shd w:val="clear" w:color="auto" w:fill="auto"/>
            <w:tcBorders>
              <w:top w:val="single" w:color="000000" w:sz="4" w:space="0"/>
              <w:left w:val="single" w:color="000000" w:sz="4" w:space="0"/>
              <w:bottom w:val="single" w:color="000000" w:sz="4" w:space="0"/>
              <w:right w:val="single" w:color="000000" w:sz="4" w:space="0"/>
            </w:tcBorders>
            <w:tcW w:w="7404"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cs="宋体"/>
                <w:b/>
                <w:bCs/>
                <w:i w:val="0"/>
                <w:iCs w:val="0"/>
                <w:color w:val="auto"/>
                <w:sz w:val="22"/>
                <w:szCs w:val="22"/>
                <w:highlight w:val="none"/>
                <w:u w:val="none"/>
                <w:lang w:val="en-US" w:eastAsia="zh-CN" w:bidi="ar"/>
              </w:rPr>
              <w:t xml:space="preserve">                </w:t>
            </w:r>
            <w:r>
              <w:rPr>
                <w:rFonts w:hint="eastAsia" w:ascii="宋体" w:hAnsi="宋体" w:eastAsia="宋体" w:cs="宋体"/>
                <w:b/>
                <w:bCs/>
                <w:i w:val="0"/>
                <w:iCs w:val="0"/>
                <w:color w:val="auto"/>
                <w:sz w:val="22"/>
                <w:szCs w:val="22"/>
                <w:highlight w:val="none"/>
                <w:u w:val="none"/>
                <w:lang w:val="en-US" w:eastAsia="zh-CN" w:bidi="ar"/>
              </w:rPr>
              <w:t xml:space="preserve">监控增补</w:t>
            </w:r>
            <w:r/>
          </w:p>
        </w:tc>
        <w:tc>
          <w:tcPr>
            <w:shd w:val="clear" w:color="auto" w:fill="auto"/>
            <w:tcBorders>
              <w:top w:val="single" w:color="000000" w:sz="4" w:space="0"/>
              <w:left w:val="single" w:color="000000" w:sz="4" w:space="0"/>
              <w:bottom w:val="single" w:color="000000" w:sz="4" w:space="0"/>
              <w:right w:val="single" w:color="000000" w:sz="4" w:space="0"/>
            </w:tcBorders>
            <w:tcW w:w="2706"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397"/>
        </w:trPr>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23"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高清400万枪型摄像机</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2706"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工业</w:t>
            </w:r>
            <w:r/>
          </w:p>
        </w:tc>
      </w:tr>
      <w:tr>
        <w:trPr>
          <w:trHeight w:val="397"/>
        </w:trPr>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23"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高清400万半球摄像机</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2706"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工业</w:t>
            </w:r>
            <w:r/>
          </w:p>
        </w:tc>
      </w:tr>
      <w:tr>
        <w:trPr>
          <w:trHeight w:val="397"/>
        </w:trPr>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123"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枪机支架</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2706"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工业</w:t>
            </w:r>
            <w:r/>
          </w:p>
        </w:tc>
      </w:tr>
      <w:tr>
        <w:trPr>
          <w:trHeight w:val="397"/>
        </w:trPr>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123"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半球支架</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2706"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工业</w:t>
            </w:r>
            <w:r/>
          </w:p>
        </w:tc>
      </w:tr>
      <w:tr>
        <w:trPr>
          <w:trHeight w:val="397"/>
        </w:trPr>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123"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硬盘8T</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2706"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工业</w:t>
            </w:r>
            <w:r/>
          </w:p>
        </w:tc>
      </w:tr>
      <w:tr>
        <w:trPr>
          <w:trHeight w:val="397"/>
        </w:trPr>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123"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2706"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工业</w:t>
            </w:r>
            <w:r/>
          </w:p>
        </w:tc>
      </w:tr>
      <w:tr>
        <w:trPr>
          <w:trHeight w:val="397"/>
        </w:trPr>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123"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2706"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工业</w:t>
            </w:r>
            <w:r/>
          </w:p>
        </w:tc>
      </w:tr>
      <w:tr>
        <w:trPr>
          <w:trHeight w:val="397"/>
        </w:trPr>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123"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POE交换机4+2</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706"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工业</w:t>
            </w:r>
            <w:r/>
          </w:p>
        </w:tc>
      </w:tr>
      <w:tr>
        <w:trPr>
          <w:trHeight w:val="397"/>
        </w:trPr>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123"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POE交换机8+2</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706"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工业</w:t>
            </w:r>
            <w:r/>
          </w:p>
        </w:tc>
      </w:tr>
      <w:tr>
        <w:trPr>
          <w:trHeight w:val="397"/>
        </w:trPr>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123"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POE交换机16+2</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706"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工业</w:t>
            </w:r>
            <w:r/>
          </w:p>
        </w:tc>
      </w:tr>
      <w:tr>
        <w:trPr>
          <w:trHeight w:val="397"/>
        </w:trPr>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123"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POE交换机24+2</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706"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工业</w:t>
            </w:r>
            <w:r/>
          </w:p>
        </w:tc>
      </w:tr>
      <w:tr>
        <w:trPr>
          <w:trHeight w:val="397"/>
        </w:trPr>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123"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存储服务器</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706"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工业</w:t>
            </w:r>
            <w:r/>
          </w:p>
        </w:tc>
      </w:tr>
      <w:tr>
        <w:trPr>
          <w:trHeight w:val="397"/>
        </w:trPr>
        <w:tc>
          <w:tcPr>
            <w:shd w:val="clear" w:color="auto" w:fill="ffffff"/>
            <w:tcBorders>
              <w:top w:val="single" w:color="000000" w:sz="4" w:space="0"/>
              <w:left w:val="single" w:color="000000" w:sz="4" w:space="0"/>
              <w:bottom w:val="single" w:color="000000" w:sz="4" w:space="0"/>
              <w:right w:val="single" w:color="000000" w:sz="4" w:space="0"/>
            </w:tcBorders>
            <w:tcW w:w="1021"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123"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706"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工业</w:t>
            </w:r>
            <w:r/>
          </w:p>
        </w:tc>
      </w:tr>
      <w:tr>
        <w:trPr>
          <w:trHeight w:val="398"/>
        </w:trPr>
        <w:tc>
          <w:tcPr>
            <w:gridSpan w:val="4"/>
            <w:shd w:val="clear" w:color="auto" w:fill="auto"/>
            <w:tcBorders>
              <w:top w:val="single" w:color="000000" w:sz="4" w:space="0"/>
              <w:left w:val="single" w:color="000000" w:sz="4" w:space="0"/>
              <w:bottom w:val="single" w:color="000000" w:sz="4" w:space="0"/>
              <w:right w:val="single" w:color="000000" w:sz="4" w:space="0"/>
            </w:tcBorders>
            <w:tcW w:w="7404"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cs="宋体"/>
                <w:b/>
                <w:bCs/>
                <w:i w:val="0"/>
                <w:iCs w:val="0"/>
                <w:color w:val="auto"/>
                <w:sz w:val="22"/>
                <w:szCs w:val="22"/>
                <w:highlight w:val="none"/>
                <w:u w:val="none"/>
                <w:lang w:val="en-US" w:eastAsia="zh-CN" w:bidi="ar"/>
              </w:rPr>
              <w:t xml:space="preserve">                    </w:t>
            </w:r>
            <w:r>
              <w:rPr>
                <w:rFonts w:hint="eastAsia" w:ascii="宋体" w:hAnsi="宋体" w:eastAsia="宋体" w:cs="宋体"/>
                <w:b/>
                <w:bCs/>
                <w:i w:val="0"/>
                <w:iCs w:val="0"/>
                <w:color w:val="auto"/>
                <w:sz w:val="22"/>
                <w:szCs w:val="22"/>
                <w:highlight w:val="none"/>
                <w:u w:val="none"/>
                <w:lang w:val="en-US" w:eastAsia="zh-CN" w:bidi="ar"/>
              </w:rPr>
              <w:t xml:space="preserve">融媒体制作中心</w:t>
            </w:r>
            <w:r/>
          </w:p>
        </w:tc>
        <w:tc>
          <w:tcPr>
            <w:shd w:val="clear" w:color="auto" w:fill="auto"/>
            <w:tcBorders>
              <w:top w:val="single" w:color="000000" w:sz="4" w:space="0"/>
              <w:left w:val="single" w:color="000000" w:sz="4" w:space="0"/>
              <w:bottom w:val="single" w:color="000000" w:sz="4" w:space="0"/>
              <w:right w:val="single" w:color="000000" w:sz="4" w:space="0"/>
            </w:tcBorders>
            <w:tcW w:w="2706"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398"/>
        </w:trPr>
        <w:tc>
          <w:tcPr>
            <w:gridSpan w:val="4"/>
            <w:shd w:val="clear" w:color="auto" w:fill="auto"/>
            <w:tcBorders>
              <w:top w:val="single" w:color="000000" w:sz="4" w:space="0"/>
              <w:left w:val="single" w:color="000000" w:sz="4" w:space="0"/>
              <w:bottom w:val="single" w:color="000000" w:sz="4" w:space="0"/>
              <w:right w:val="none" w:color="000000" w:sz="4" w:space="0"/>
            </w:tcBorders>
            <w:tcW w:w="7404" w:type="dxa"/>
            <w:vAlign w:val="center"/>
            <w:textDirection w:val="lrTb"/>
            <w:noWrap/>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一、核心设备</w:t>
            </w:r>
            <w:r/>
          </w:p>
        </w:tc>
        <w:tc>
          <w:tcPr>
            <w:shd w:val="clear" w:color="auto" w:fill="auto"/>
            <w:tcBorders>
              <w:top w:val="single" w:color="000000" w:sz="4" w:space="0"/>
              <w:left w:val="single" w:color="000000" w:sz="4" w:space="0"/>
              <w:bottom w:val="single" w:color="000000" w:sz="4" w:space="0"/>
              <w:right w:val="none" w:color="000000" w:sz="4" w:space="0"/>
            </w:tcBorders>
            <w:tcW w:w="2706"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398"/>
        </w:trPr>
        <w:tc>
          <w:tcPr>
            <w:shd w:val="clear" w:color="auto" w:fill="auto"/>
            <w:tcBorders>
              <w:top w:val="none" w:color="000000" w:sz="4" w:space="0"/>
              <w:left w:val="single" w:color="000000" w:sz="4" w:space="0"/>
              <w:bottom w:val="single" w:color="000000" w:sz="4" w:space="0"/>
              <w:right w:val="single" w:color="000000" w:sz="4" w:space="0"/>
            </w:tcBorders>
            <w:tcW w:w="1021"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23"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高清虚拟演播室系统</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软件和信息技术服务业</w:t>
            </w:r>
            <w:r/>
          </w:p>
        </w:tc>
      </w:tr>
      <w:tr>
        <w:trPr>
          <w:trHeight w:val="398"/>
        </w:trPr>
        <w:tc>
          <w:tcPr>
            <w:shd w:val="clear" w:color="auto" w:fill="auto"/>
            <w:tcBorders>
              <w:top w:val="none" w:color="000000" w:sz="4" w:space="0"/>
              <w:left w:val="single" w:color="000000" w:sz="4" w:space="0"/>
              <w:bottom w:val="single" w:color="000000" w:sz="4" w:space="0"/>
              <w:right w:val="single" w:color="000000" w:sz="4" w:space="0"/>
            </w:tcBorders>
            <w:tcW w:w="1021"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23"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lang w:val="en-US" w:eastAsia="zh-CN"/>
              </w:rPr>
              <w:suppressLineNumbers w:val="0"/>
            </w:pPr>
            <w:r>
              <w:rPr>
                <w:rFonts w:hint="eastAsia" w:ascii="宋体" w:hAnsi="宋体" w:eastAsia="宋体" w:cs="宋体"/>
                <w:i w:val="0"/>
                <w:iCs w:val="0"/>
                <w:color w:val="auto"/>
                <w:sz w:val="18"/>
                <w:szCs w:val="18"/>
                <w:highlight w:val="none"/>
                <w:u w:val="none"/>
                <w:lang w:val="en-US" w:eastAsia="zh-CN" w:bidi="ar"/>
              </w:rPr>
              <w:t xml:space="preserve">高清虚拟演播室工作站</w:t>
            </w:r>
            <w:r>
              <w:rPr>
                <w:rFonts w:hint="eastAsia" w:ascii="宋体" w:hAnsi="宋体" w:cs="宋体"/>
                <w:i w:val="0"/>
                <w:iCs w:val="0"/>
                <w:color w:val="auto"/>
                <w:sz w:val="18"/>
                <w:szCs w:val="18"/>
                <w:highlight w:val="none"/>
                <w:u w:val="none"/>
                <w:lang w:val="en-US" w:eastAsia="zh-CN" w:bidi="ar"/>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工业</w:t>
            </w:r>
            <w:r/>
          </w:p>
        </w:tc>
      </w:tr>
      <w:tr>
        <w:trPr>
          <w:trHeight w:val="398"/>
        </w:trPr>
        <w:tc>
          <w:tcPr>
            <w:shd w:val="clear" w:color="auto" w:fill="auto"/>
            <w:tcBorders>
              <w:top w:val="none" w:color="000000" w:sz="4" w:space="0"/>
              <w:left w:val="single" w:color="000000" w:sz="4" w:space="0"/>
              <w:bottom w:val="single" w:color="000000" w:sz="4" w:space="0"/>
              <w:right w:val="single" w:color="000000" w:sz="4" w:space="0"/>
            </w:tcBorders>
            <w:tcW w:w="1021"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123"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直点播系统</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软件和信息技术服务业</w:t>
            </w:r>
            <w:r/>
          </w:p>
        </w:tc>
      </w:tr>
      <w:tr>
        <w:trPr>
          <w:trHeight w:val="398"/>
        </w:trPr>
        <w:tc>
          <w:tcPr>
            <w:shd w:val="clear" w:color="auto" w:fill="auto"/>
            <w:tcBorders>
              <w:top w:val="none" w:color="000000" w:sz="4" w:space="0"/>
              <w:left w:val="single" w:color="000000" w:sz="4" w:space="0"/>
              <w:bottom w:val="single" w:color="000000" w:sz="4" w:space="0"/>
              <w:right w:val="single" w:color="000000" w:sz="4" w:space="0"/>
            </w:tcBorders>
            <w:tcW w:w="1021"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123"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直点播服务器</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工业</w:t>
            </w:r>
            <w:r/>
          </w:p>
        </w:tc>
      </w:tr>
      <w:tr>
        <w:trPr>
          <w:trHeight w:val="398"/>
        </w:trPr>
        <w:tc>
          <w:tcPr>
            <w:shd w:val="clear" w:color="auto" w:fill="auto"/>
            <w:tcBorders>
              <w:top w:val="none" w:color="000000" w:sz="4" w:space="0"/>
              <w:left w:val="single" w:color="000000" w:sz="4" w:space="0"/>
              <w:bottom w:val="single" w:color="000000" w:sz="4" w:space="0"/>
              <w:right w:val="single" w:color="000000" w:sz="4" w:space="0"/>
            </w:tcBorders>
            <w:tcW w:w="1021"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123"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非编系统</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软件和信息技术服务业</w:t>
            </w:r>
            <w:r/>
          </w:p>
        </w:tc>
      </w:tr>
      <w:tr>
        <w:trPr>
          <w:trHeight w:val="398"/>
        </w:trPr>
        <w:tc>
          <w:tcPr>
            <w:shd w:val="clear" w:color="auto" w:fill="auto"/>
            <w:tcBorders>
              <w:top w:val="none" w:color="000000" w:sz="4" w:space="0"/>
              <w:left w:val="single" w:color="000000" w:sz="4" w:space="0"/>
              <w:bottom w:val="single" w:color="000000" w:sz="4" w:space="0"/>
              <w:right w:val="single" w:color="000000" w:sz="4" w:space="0"/>
            </w:tcBorders>
            <w:tcW w:w="1021"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123"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非编工作站</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工业</w:t>
            </w:r>
            <w:r/>
          </w:p>
        </w:tc>
      </w:tr>
      <w:tr>
        <w:trPr>
          <w:trHeight w:val="398"/>
        </w:trPr>
        <w:tc>
          <w:tcPr>
            <w:gridSpan w:val="4"/>
            <w:shd w:val="clear" w:color="auto" w:fill="auto"/>
            <w:tcBorders>
              <w:top w:val="single" w:color="000000" w:sz="4" w:space="0"/>
              <w:left w:val="single" w:color="000000" w:sz="4" w:space="0"/>
              <w:bottom w:val="single" w:color="000000" w:sz="4" w:space="0"/>
              <w:right w:val="none" w:color="000000" w:sz="4" w:space="0"/>
            </w:tcBorders>
            <w:tcW w:w="7404" w:type="dxa"/>
            <w:vAlign w:val="center"/>
            <w:textDirection w:val="lrTb"/>
            <w:noWrap/>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二、周边设备</w:t>
            </w:r>
            <w:r/>
          </w:p>
        </w:tc>
        <w:tc>
          <w:tcPr>
            <w:shd w:val="clear" w:color="auto" w:fill="auto"/>
            <w:tcBorders>
              <w:top w:val="single" w:color="000000" w:sz="4" w:space="0"/>
              <w:left w:val="single" w:color="000000" w:sz="4" w:space="0"/>
              <w:bottom w:val="single" w:color="000000" w:sz="4" w:space="0"/>
              <w:right w:val="none" w:color="000000" w:sz="4" w:space="0"/>
            </w:tcBorders>
            <w:tcW w:w="2706"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398"/>
        </w:trPr>
        <w:tc>
          <w:tcPr>
            <w:shd w:val="clear" w:color="auto" w:fill="auto"/>
            <w:tcBorders>
              <w:top w:val="none" w:color="000000" w:sz="4" w:space="0"/>
              <w:left w:val="single" w:color="000000" w:sz="4" w:space="0"/>
              <w:bottom w:val="single" w:color="000000" w:sz="4" w:space="0"/>
              <w:right w:val="single" w:color="000000" w:sz="4" w:space="0"/>
            </w:tcBorders>
            <w:tcW w:w="1021"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23"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4K摄像机</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工业</w:t>
            </w:r>
            <w:r/>
          </w:p>
        </w:tc>
      </w:tr>
      <w:tr>
        <w:trPr>
          <w:trHeight w:val="398"/>
        </w:trPr>
        <w:tc>
          <w:tcPr>
            <w:shd w:val="clear" w:color="auto" w:fill="auto"/>
            <w:tcBorders>
              <w:top w:val="none" w:color="000000" w:sz="4" w:space="0"/>
              <w:left w:val="single" w:color="000000" w:sz="4" w:space="0"/>
              <w:bottom w:val="single" w:color="000000" w:sz="4" w:space="0"/>
              <w:right w:val="single" w:color="000000" w:sz="4" w:space="0"/>
            </w:tcBorders>
            <w:tcW w:w="1021"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23"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双屏提词器</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工业</w:t>
            </w:r>
            <w:r/>
          </w:p>
        </w:tc>
      </w:tr>
      <w:tr>
        <w:trPr>
          <w:trHeight w:val="398"/>
        </w:trPr>
        <w:tc>
          <w:tcPr>
            <w:shd w:val="clear" w:color="auto" w:fill="auto"/>
            <w:tcBorders>
              <w:top w:val="none" w:color="000000" w:sz="4" w:space="0"/>
              <w:left w:val="single" w:color="000000" w:sz="4" w:space="0"/>
              <w:bottom w:val="single" w:color="000000" w:sz="4" w:space="0"/>
              <w:right w:val="single" w:color="000000" w:sz="4" w:space="0"/>
            </w:tcBorders>
            <w:tcW w:w="1021"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123"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高清回监显示屏</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工业</w:t>
            </w:r>
            <w:r/>
          </w:p>
        </w:tc>
      </w:tr>
      <w:tr>
        <w:trPr>
          <w:trHeight w:val="398"/>
        </w:trPr>
        <w:tc>
          <w:tcPr>
            <w:shd w:val="clear" w:color="auto" w:fill="auto"/>
            <w:tcBorders>
              <w:top w:val="none" w:color="000000" w:sz="4" w:space="0"/>
              <w:left w:val="single" w:color="000000" w:sz="4" w:space="0"/>
              <w:bottom w:val="single" w:color="000000" w:sz="4" w:space="0"/>
              <w:right w:val="single" w:color="000000" w:sz="4" w:space="0"/>
            </w:tcBorders>
            <w:tcW w:w="1021"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123"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无线领夹麦克风</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工业</w:t>
            </w:r>
            <w:r/>
          </w:p>
        </w:tc>
      </w:tr>
      <w:tr>
        <w:trPr>
          <w:trHeight w:val="398"/>
        </w:trPr>
        <w:tc>
          <w:tcPr>
            <w:shd w:val="clear" w:color="auto" w:fill="auto"/>
            <w:tcBorders>
              <w:top w:val="none" w:color="000000" w:sz="4" w:space="0"/>
              <w:left w:val="single" w:color="000000" w:sz="4" w:space="0"/>
              <w:bottom w:val="single" w:color="000000" w:sz="4" w:space="0"/>
              <w:right w:val="single" w:color="000000" w:sz="4" w:space="0"/>
            </w:tcBorders>
            <w:tcW w:w="1021"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123"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专业演播桌</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工业</w:t>
            </w:r>
            <w:r/>
          </w:p>
        </w:tc>
      </w:tr>
      <w:tr>
        <w:trPr>
          <w:trHeight w:val="398"/>
        </w:trPr>
        <w:tc>
          <w:tcPr>
            <w:shd w:val="clear" w:color="auto" w:fill="auto"/>
            <w:tcBorders>
              <w:top w:val="none" w:color="000000" w:sz="4" w:space="0"/>
              <w:left w:val="single" w:color="000000" w:sz="4" w:space="0"/>
              <w:bottom w:val="single" w:color="000000" w:sz="4" w:space="0"/>
              <w:right w:val="single" w:color="000000" w:sz="4" w:space="0"/>
            </w:tcBorders>
            <w:tcW w:w="1021"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123"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操作台</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工业</w:t>
            </w:r>
            <w:r/>
          </w:p>
        </w:tc>
      </w:tr>
      <w:tr>
        <w:trPr>
          <w:trHeight w:val="398"/>
        </w:trPr>
        <w:tc>
          <w:tcPr>
            <w:shd w:val="clear" w:color="auto" w:fill="auto"/>
            <w:tcBorders>
              <w:top w:val="none" w:color="000000" w:sz="4" w:space="0"/>
              <w:left w:val="single" w:color="000000" w:sz="4" w:space="0"/>
              <w:bottom w:val="single" w:color="000000" w:sz="4" w:space="0"/>
              <w:right w:val="single" w:color="000000" w:sz="4" w:space="0"/>
            </w:tcBorders>
            <w:tcW w:w="1021"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123"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电脑椅</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工业</w:t>
            </w:r>
            <w:r/>
          </w:p>
        </w:tc>
      </w:tr>
      <w:tr>
        <w:trPr>
          <w:trHeight w:val="398"/>
        </w:trPr>
        <w:tc>
          <w:tcPr>
            <w:shd w:val="clear" w:color="auto" w:fill="auto"/>
            <w:tcBorders>
              <w:top w:val="none" w:color="000000" w:sz="4" w:space="0"/>
              <w:left w:val="single" w:color="000000" w:sz="4" w:space="0"/>
              <w:bottom w:val="single" w:color="000000" w:sz="4" w:space="0"/>
              <w:right w:val="single" w:color="000000" w:sz="4" w:space="0"/>
            </w:tcBorders>
            <w:tcW w:w="1021"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123"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高清显示器</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工业</w:t>
            </w:r>
            <w:r/>
          </w:p>
        </w:tc>
      </w:tr>
      <w:tr>
        <w:trPr>
          <w:trHeight w:val="398"/>
        </w:trPr>
        <w:tc>
          <w:tcPr>
            <w:shd w:val="clear" w:color="auto" w:fill="auto"/>
            <w:tcBorders>
              <w:top w:val="none" w:color="000000" w:sz="4" w:space="0"/>
              <w:left w:val="single" w:color="000000" w:sz="4" w:space="0"/>
              <w:bottom w:val="single" w:color="000000" w:sz="4" w:space="0"/>
              <w:right w:val="single" w:color="000000" w:sz="4" w:space="0"/>
            </w:tcBorders>
            <w:tcW w:w="1021"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123"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调音台</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工业</w:t>
            </w:r>
            <w:r/>
          </w:p>
        </w:tc>
      </w:tr>
      <w:tr>
        <w:trPr>
          <w:trHeight w:val="398"/>
        </w:trPr>
        <w:tc>
          <w:tcPr>
            <w:shd w:val="clear" w:color="auto" w:fill="auto"/>
            <w:tcBorders>
              <w:top w:val="none" w:color="000000" w:sz="4" w:space="0"/>
              <w:left w:val="single" w:color="000000" w:sz="4" w:space="0"/>
              <w:bottom w:val="single" w:color="000000" w:sz="4" w:space="0"/>
              <w:right w:val="single" w:color="000000" w:sz="4" w:space="0"/>
            </w:tcBorders>
            <w:tcW w:w="1021"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123"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监听音箱</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工业</w:t>
            </w:r>
            <w:r/>
          </w:p>
        </w:tc>
      </w:tr>
      <w:tr>
        <w:trPr>
          <w:trHeight w:val="398"/>
        </w:trPr>
        <w:tc>
          <w:tcPr>
            <w:shd w:val="clear" w:color="auto" w:fill="auto"/>
            <w:tcBorders>
              <w:top w:val="none" w:color="000000" w:sz="4" w:space="0"/>
              <w:left w:val="single" w:color="000000" w:sz="4" w:space="0"/>
              <w:bottom w:val="single" w:color="000000" w:sz="4" w:space="0"/>
              <w:right w:val="single" w:color="000000" w:sz="4" w:space="0"/>
            </w:tcBorders>
            <w:tcW w:w="1021"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123"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广电高清转换器</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工业</w:t>
            </w:r>
            <w:r/>
          </w:p>
        </w:tc>
      </w:tr>
      <w:tr>
        <w:trPr>
          <w:trHeight w:val="398"/>
        </w:trPr>
        <w:tc>
          <w:tcPr>
            <w:shd w:val="clear" w:color="auto" w:fill="auto"/>
            <w:tcBorders>
              <w:top w:val="none" w:color="000000" w:sz="4" w:space="0"/>
              <w:left w:val="single" w:color="000000" w:sz="4" w:space="0"/>
              <w:bottom w:val="single" w:color="000000" w:sz="4" w:space="0"/>
              <w:right w:val="single" w:color="000000" w:sz="4" w:space="0"/>
            </w:tcBorders>
            <w:tcW w:w="1021"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123"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鼠键套装</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工业</w:t>
            </w:r>
            <w:r/>
          </w:p>
        </w:tc>
      </w:tr>
      <w:tr>
        <w:trPr>
          <w:trHeight w:val="398"/>
        </w:trPr>
        <w:tc>
          <w:tcPr>
            <w:gridSpan w:val="4"/>
            <w:shd w:val="clear" w:color="auto" w:fill="auto"/>
            <w:tcBorders>
              <w:top w:val="single" w:color="000000" w:sz="4" w:space="0"/>
              <w:left w:val="single" w:color="000000" w:sz="4" w:space="0"/>
              <w:bottom w:val="single" w:color="000000" w:sz="4" w:space="0"/>
              <w:right w:val="none" w:color="000000" w:sz="4" w:space="0"/>
            </w:tcBorders>
            <w:tcW w:w="7404" w:type="dxa"/>
            <w:vAlign w:val="center"/>
            <w:textDirection w:val="lrTb"/>
            <w:noWrap/>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三、蓝箱、灯光</w:t>
            </w:r>
            <w:r/>
          </w:p>
        </w:tc>
        <w:tc>
          <w:tcPr>
            <w:shd w:val="clear" w:color="auto" w:fill="auto"/>
            <w:tcBorders>
              <w:top w:val="single" w:color="000000" w:sz="4" w:space="0"/>
              <w:left w:val="single" w:color="000000" w:sz="4" w:space="0"/>
              <w:bottom w:val="single" w:color="000000" w:sz="4" w:space="0"/>
              <w:right w:val="none" w:color="000000" w:sz="4" w:space="0"/>
            </w:tcBorders>
            <w:tcW w:w="2706"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398"/>
        </w:trPr>
        <w:tc>
          <w:tcPr>
            <w:shd w:val="clear" w:color="auto" w:fill="auto"/>
            <w:tcBorders>
              <w:top w:val="none" w:color="000000" w:sz="4" w:space="0"/>
              <w:left w:val="single" w:color="000000" w:sz="4" w:space="0"/>
              <w:bottom w:val="single" w:color="000000" w:sz="4" w:space="0"/>
              <w:right w:val="single" w:color="000000" w:sz="4" w:space="0"/>
            </w:tcBorders>
            <w:tcW w:w="1021"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23"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蓝箱</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M²</w:t>
            </w:r>
            <w:r/>
          </w:p>
        </w:tc>
        <w:tc>
          <w:tcPr>
            <w:shd w:val="clear" w:color="auto" w:fill="auto"/>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工业</w:t>
            </w:r>
            <w:r/>
          </w:p>
        </w:tc>
      </w:tr>
      <w:tr>
        <w:trPr>
          <w:trHeight w:val="398"/>
        </w:trPr>
        <w:tc>
          <w:tcPr>
            <w:shd w:val="clear" w:color="auto" w:fill="auto"/>
            <w:tcBorders>
              <w:top w:val="none" w:color="000000" w:sz="4" w:space="0"/>
              <w:left w:val="single" w:color="000000" w:sz="4" w:space="0"/>
              <w:bottom w:val="single" w:color="000000" w:sz="4" w:space="0"/>
              <w:right w:val="single" w:color="000000" w:sz="4" w:space="0"/>
            </w:tcBorders>
            <w:tcW w:w="1021"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23"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LED平板式背部柔光灯</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工业</w:t>
            </w:r>
            <w:r/>
          </w:p>
        </w:tc>
      </w:tr>
      <w:tr>
        <w:trPr>
          <w:trHeight w:val="398"/>
        </w:trPr>
        <w:tc>
          <w:tcPr>
            <w:shd w:val="clear" w:color="auto" w:fill="auto"/>
            <w:tcBorders>
              <w:top w:val="none" w:color="000000" w:sz="4" w:space="0"/>
              <w:left w:val="single" w:color="000000" w:sz="4" w:space="0"/>
              <w:bottom w:val="single" w:color="000000" w:sz="4" w:space="0"/>
              <w:right w:val="single" w:color="000000" w:sz="4" w:space="0"/>
            </w:tcBorders>
            <w:tcW w:w="1021"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123"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LED平板式面部柔光灯</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工业</w:t>
            </w:r>
            <w:r/>
          </w:p>
        </w:tc>
      </w:tr>
      <w:tr>
        <w:trPr>
          <w:trHeight w:val="398"/>
        </w:trPr>
        <w:tc>
          <w:tcPr>
            <w:shd w:val="clear" w:color="auto" w:fill="auto"/>
            <w:tcBorders>
              <w:top w:val="none" w:color="000000" w:sz="4" w:space="0"/>
              <w:left w:val="single" w:color="000000" w:sz="4" w:space="0"/>
              <w:bottom w:val="single" w:color="000000" w:sz="4" w:space="0"/>
              <w:right w:val="single" w:color="000000" w:sz="4" w:space="0"/>
            </w:tcBorders>
            <w:tcW w:w="1021"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123"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LED平板式顶部柔光灯</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工业</w:t>
            </w:r>
            <w:r/>
          </w:p>
        </w:tc>
      </w:tr>
      <w:tr>
        <w:trPr>
          <w:trHeight w:val="398"/>
        </w:trPr>
        <w:tc>
          <w:tcPr>
            <w:shd w:val="clear" w:color="auto" w:fill="auto"/>
            <w:tcBorders>
              <w:top w:val="none" w:color="000000" w:sz="4" w:space="0"/>
              <w:left w:val="single" w:color="000000" w:sz="4" w:space="0"/>
              <w:bottom w:val="single" w:color="000000" w:sz="4" w:space="0"/>
              <w:right w:val="single" w:color="000000" w:sz="4" w:space="0"/>
            </w:tcBorders>
            <w:tcW w:w="1021"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123"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LED平板式侧部柔光灯</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工业</w:t>
            </w:r>
            <w:r/>
          </w:p>
        </w:tc>
      </w:tr>
      <w:tr>
        <w:trPr>
          <w:trHeight w:val="398"/>
        </w:trPr>
        <w:tc>
          <w:tcPr>
            <w:shd w:val="clear" w:color="auto" w:fill="auto"/>
            <w:tcBorders>
              <w:top w:val="none" w:color="000000" w:sz="4" w:space="0"/>
              <w:left w:val="single" w:color="000000" w:sz="4" w:space="0"/>
              <w:bottom w:val="single" w:color="000000" w:sz="4" w:space="0"/>
              <w:right w:val="single" w:color="000000" w:sz="4" w:space="0"/>
            </w:tcBorders>
            <w:tcW w:w="1021"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123"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固定轨道</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工业</w:t>
            </w:r>
            <w:r/>
          </w:p>
        </w:tc>
      </w:tr>
      <w:tr>
        <w:trPr>
          <w:trHeight w:val="398"/>
        </w:trPr>
        <w:tc>
          <w:tcPr>
            <w:shd w:val="clear" w:color="auto" w:fill="auto"/>
            <w:tcBorders>
              <w:top w:val="none" w:color="000000" w:sz="4" w:space="0"/>
              <w:left w:val="single" w:color="000000" w:sz="4" w:space="0"/>
              <w:bottom w:val="single" w:color="000000" w:sz="4" w:space="0"/>
              <w:right w:val="single" w:color="000000" w:sz="4" w:space="0"/>
            </w:tcBorders>
            <w:tcW w:w="1021"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123"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活动轨道</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工业</w:t>
            </w:r>
            <w:r/>
          </w:p>
        </w:tc>
      </w:tr>
      <w:tr>
        <w:trPr>
          <w:trHeight w:val="398"/>
        </w:trPr>
        <w:tc>
          <w:tcPr>
            <w:shd w:val="clear" w:color="auto" w:fill="auto"/>
            <w:tcBorders>
              <w:top w:val="none" w:color="000000" w:sz="4" w:space="0"/>
              <w:left w:val="single" w:color="000000" w:sz="4" w:space="0"/>
              <w:bottom w:val="single" w:color="000000" w:sz="4" w:space="0"/>
              <w:right w:val="single" w:color="000000" w:sz="4" w:space="0"/>
            </w:tcBorders>
            <w:tcW w:w="1021"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123"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轨道连接件</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工业</w:t>
            </w:r>
            <w:r/>
          </w:p>
        </w:tc>
      </w:tr>
      <w:tr>
        <w:trPr>
          <w:trHeight w:val="398"/>
        </w:trPr>
        <w:tc>
          <w:tcPr>
            <w:shd w:val="clear" w:color="auto" w:fill="auto"/>
            <w:tcBorders>
              <w:top w:val="none" w:color="000000" w:sz="4" w:space="0"/>
              <w:left w:val="single" w:color="000000" w:sz="4" w:space="0"/>
              <w:bottom w:val="single" w:color="000000" w:sz="4" w:space="0"/>
              <w:right w:val="single" w:color="000000" w:sz="4" w:space="0"/>
            </w:tcBorders>
            <w:tcW w:w="1021"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123"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轨道压片</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工业</w:t>
            </w:r>
            <w:r/>
          </w:p>
        </w:tc>
      </w:tr>
      <w:tr>
        <w:trPr>
          <w:trHeight w:val="398"/>
        </w:trPr>
        <w:tc>
          <w:tcPr>
            <w:shd w:val="clear" w:color="auto" w:fill="auto"/>
            <w:tcBorders>
              <w:top w:val="none" w:color="000000" w:sz="4" w:space="0"/>
              <w:left w:val="single" w:color="000000" w:sz="4" w:space="0"/>
              <w:bottom w:val="single" w:color="000000" w:sz="4" w:space="0"/>
              <w:right w:val="single" w:color="000000" w:sz="4" w:space="0"/>
            </w:tcBorders>
            <w:tcW w:w="1021"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123"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轨道堵头</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工业</w:t>
            </w:r>
            <w:r/>
          </w:p>
        </w:tc>
      </w:tr>
      <w:tr>
        <w:trPr>
          <w:trHeight w:val="398"/>
        </w:trPr>
        <w:tc>
          <w:tcPr>
            <w:shd w:val="clear" w:color="auto" w:fill="auto"/>
            <w:tcBorders>
              <w:top w:val="none" w:color="000000" w:sz="4" w:space="0"/>
              <w:left w:val="single" w:color="000000" w:sz="4" w:space="0"/>
              <w:bottom w:val="single" w:color="000000" w:sz="4" w:space="0"/>
              <w:right w:val="single" w:color="000000" w:sz="4" w:space="0"/>
            </w:tcBorders>
            <w:tcW w:w="1021"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123"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万向滑车</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工业</w:t>
            </w:r>
            <w:r/>
          </w:p>
        </w:tc>
      </w:tr>
      <w:tr>
        <w:trPr>
          <w:trHeight w:val="398"/>
        </w:trPr>
        <w:tc>
          <w:tcPr>
            <w:shd w:val="clear" w:color="auto" w:fill="auto"/>
            <w:tcBorders>
              <w:top w:val="none" w:color="000000" w:sz="4" w:space="0"/>
              <w:left w:val="single" w:color="000000" w:sz="4" w:space="0"/>
              <w:bottom w:val="single" w:color="000000" w:sz="4" w:space="0"/>
              <w:right w:val="single" w:color="000000" w:sz="4" w:space="0"/>
            </w:tcBorders>
            <w:tcW w:w="1021"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123"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灯具滑车</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工业</w:t>
            </w:r>
            <w:r/>
          </w:p>
        </w:tc>
      </w:tr>
      <w:tr>
        <w:trPr>
          <w:trHeight w:val="398"/>
        </w:trPr>
        <w:tc>
          <w:tcPr>
            <w:shd w:val="clear" w:color="auto" w:fill="auto"/>
            <w:tcBorders>
              <w:top w:val="none" w:color="000000" w:sz="4" w:space="0"/>
              <w:left w:val="single" w:color="000000" w:sz="4" w:space="0"/>
              <w:bottom w:val="single" w:color="000000" w:sz="4" w:space="0"/>
              <w:right w:val="single" w:color="000000" w:sz="4" w:space="0"/>
            </w:tcBorders>
            <w:tcW w:w="1021"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123"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线缆滑车</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工业</w:t>
            </w:r>
            <w:r/>
          </w:p>
        </w:tc>
      </w:tr>
      <w:tr>
        <w:trPr>
          <w:trHeight w:val="398"/>
        </w:trPr>
        <w:tc>
          <w:tcPr>
            <w:shd w:val="clear" w:color="auto" w:fill="auto"/>
            <w:tcBorders>
              <w:top w:val="none" w:color="000000" w:sz="4" w:space="0"/>
              <w:left w:val="single" w:color="000000" w:sz="4" w:space="0"/>
              <w:bottom w:val="single" w:color="000000" w:sz="4" w:space="0"/>
              <w:right w:val="single" w:color="000000" w:sz="4" w:space="0"/>
            </w:tcBorders>
            <w:tcW w:w="1021"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123"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恒力铰链</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工业</w:t>
            </w:r>
            <w:r/>
          </w:p>
        </w:tc>
      </w:tr>
      <w:tr>
        <w:trPr>
          <w:trHeight w:val="398"/>
        </w:trPr>
        <w:tc>
          <w:tcPr>
            <w:shd w:val="clear" w:color="auto" w:fill="auto"/>
            <w:tcBorders>
              <w:top w:val="none" w:color="000000" w:sz="4" w:space="0"/>
              <w:left w:val="single" w:color="000000" w:sz="4" w:space="0"/>
              <w:bottom w:val="single" w:color="000000" w:sz="4" w:space="0"/>
              <w:right w:val="single" w:color="000000" w:sz="4" w:space="0"/>
            </w:tcBorders>
            <w:tcW w:w="1021"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123"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调光台</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工业</w:t>
            </w:r>
            <w:r/>
          </w:p>
        </w:tc>
      </w:tr>
      <w:tr>
        <w:trPr>
          <w:trHeight w:val="398"/>
        </w:trPr>
        <w:tc>
          <w:tcPr>
            <w:shd w:val="clear" w:color="auto" w:fill="auto"/>
            <w:tcBorders>
              <w:top w:val="none" w:color="000000" w:sz="4" w:space="0"/>
              <w:left w:val="single" w:color="000000" w:sz="4" w:space="0"/>
              <w:bottom w:val="single" w:color="000000" w:sz="4" w:space="0"/>
              <w:right w:val="single" w:color="000000" w:sz="4" w:space="0"/>
            </w:tcBorders>
            <w:tcW w:w="1021"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rPr>
                <w:rFonts w:hint="eastAsia" w:ascii="宋体" w:hAnsi="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123"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工业</w:t>
            </w:r>
            <w:r/>
          </w:p>
        </w:tc>
      </w:tr>
      <w:tr>
        <w:trPr>
          <w:trHeight w:val="398"/>
        </w:trPr>
        <w:tc>
          <w:tcPr>
            <w:gridSpan w:val="4"/>
            <w:shd w:val="clear" w:color="auto" w:fill="auto"/>
            <w:tcBorders>
              <w:top w:val="single" w:color="000000" w:sz="4" w:space="0"/>
              <w:left w:val="single" w:color="000000" w:sz="4" w:space="0"/>
              <w:bottom w:val="single" w:color="000000" w:sz="4" w:space="0"/>
              <w:right w:val="none" w:color="000000" w:sz="4" w:space="0"/>
            </w:tcBorders>
            <w:tcW w:w="7404" w:type="dxa"/>
            <w:vAlign w:val="center"/>
            <w:textDirection w:val="lrTb"/>
            <w:noWrap/>
          </w:tcPr>
          <w:p>
            <w:pPr>
              <w:ind w:firstLine="0"/>
              <w:jc w:val="left"/>
              <w:keepLines w:val="0"/>
              <w:keepNext w:val="0"/>
              <w:pageBreakBefore w:val="0"/>
              <w:spacing w:line="240" w:lineRule="atLeast"/>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四、环境装饰</w:t>
            </w:r>
            <w:r/>
          </w:p>
        </w:tc>
        <w:tc>
          <w:tcPr>
            <w:shd w:val="clear" w:color="auto" w:fill="auto"/>
            <w:tcBorders>
              <w:top w:val="single" w:color="000000" w:sz="4" w:space="0"/>
              <w:left w:val="single" w:color="000000" w:sz="4" w:space="0"/>
              <w:bottom w:val="single" w:color="000000" w:sz="4" w:space="0"/>
              <w:right w:val="none" w:color="000000" w:sz="4" w:space="0"/>
            </w:tcBorders>
            <w:tcW w:w="2706"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398"/>
        </w:trPr>
        <w:tc>
          <w:tcPr>
            <w:shd w:val="clear" w:color="auto" w:fill="auto"/>
            <w:tcBorders>
              <w:top w:val="none" w:color="000000" w:sz="4" w:space="0"/>
              <w:left w:val="single" w:color="000000" w:sz="4" w:space="0"/>
              <w:bottom w:val="single" w:color="000000" w:sz="4" w:space="0"/>
              <w:right w:val="single" w:color="000000" w:sz="4" w:space="0"/>
            </w:tcBorders>
            <w:tcW w:w="1021"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23"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墙体轻钢龙骨基层</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706"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工业</w:t>
            </w:r>
            <w:r/>
          </w:p>
        </w:tc>
      </w:tr>
      <w:tr>
        <w:trPr>
          <w:trHeight w:val="398"/>
        </w:trPr>
        <w:tc>
          <w:tcPr>
            <w:shd w:val="clear" w:color="auto" w:fill="auto"/>
            <w:tcBorders>
              <w:top w:val="none" w:color="000000" w:sz="4" w:space="0"/>
              <w:left w:val="single" w:color="000000" w:sz="4" w:space="0"/>
              <w:bottom w:val="single" w:color="000000" w:sz="4" w:space="0"/>
              <w:right w:val="single" w:color="000000" w:sz="4" w:space="0"/>
            </w:tcBorders>
            <w:tcW w:w="1021"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23"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声学隔音棉</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706"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工业</w:t>
            </w:r>
            <w:r/>
          </w:p>
        </w:tc>
      </w:tr>
      <w:tr>
        <w:trPr>
          <w:trHeight w:val="398"/>
        </w:trPr>
        <w:tc>
          <w:tcPr>
            <w:shd w:val="clear" w:color="auto" w:fill="auto"/>
            <w:tcBorders>
              <w:top w:val="none" w:color="000000" w:sz="4" w:space="0"/>
              <w:left w:val="single" w:color="000000" w:sz="4" w:space="0"/>
              <w:bottom w:val="single" w:color="000000" w:sz="4" w:space="0"/>
              <w:right w:val="single" w:color="000000" w:sz="4" w:space="0"/>
            </w:tcBorders>
            <w:tcW w:w="1021"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123"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隔声层石膏板处理</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706"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工业</w:t>
            </w:r>
            <w:r/>
          </w:p>
        </w:tc>
      </w:tr>
      <w:tr>
        <w:trPr>
          <w:trHeight w:val="398"/>
        </w:trPr>
        <w:tc>
          <w:tcPr>
            <w:shd w:val="clear" w:color="auto" w:fill="auto"/>
            <w:tcBorders>
              <w:top w:val="none" w:color="000000" w:sz="4" w:space="0"/>
              <w:left w:val="single" w:color="000000" w:sz="4" w:space="0"/>
              <w:bottom w:val="single" w:color="000000" w:sz="4" w:space="0"/>
              <w:right w:val="single" w:color="000000" w:sz="4" w:space="0"/>
            </w:tcBorders>
            <w:tcW w:w="1021"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123"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聚酯纤维吸音板</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706"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工业</w:t>
            </w:r>
            <w:r/>
          </w:p>
        </w:tc>
      </w:tr>
      <w:tr>
        <w:trPr>
          <w:trHeight w:val="398"/>
        </w:trPr>
        <w:tc>
          <w:tcPr>
            <w:shd w:val="clear" w:color="auto" w:fill="auto"/>
            <w:tcBorders>
              <w:top w:val="none" w:color="000000" w:sz="4" w:space="0"/>
              <w:left w:val="single" w:color="000000" w:sz="4" w:space="0"/>
              <w:bottom w:val="single" w:color="000000" w:sz="4" w:space="0"/>
              <w:right w:val="single" w:color="000000" w:sz="4" w:space="0"/>
            </w:tcBorders>
            <w:tcW w:w="1021"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123"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PVC吸音地胶</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706"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工业</w:t>
            </w:r>
            <w:r/>
          </w:p>
        </w:tc>
      </w:tr>
      <w:tr>
        <w:trPr>
          <w:trHeight w:val="398"/>
        </w:trPr>
        <w:tc>
          <w:tcPr>
            <w:shd w:val="clear" w:color="auto" w:fill="auto"/>
            <w:tcBorders>
              <w:top w:val="none" w:color="000000" w:sz="4" w:space="0"/>
              <w:left w:val="single" w:color="000000" w:sz="4" w:space="0"/>
              <w:bottom w:val="single" w:color="000000" w:sz="4" w:space="0"/>
              <w:right w:val="single" w:color="000000" w:sz="4" w:space="0"/>
            </w:tcBorders>
            <w:tcW w:w="1021"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123"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隔音门</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2706"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工业</w:t>
            </w:r>
            <w:r/>
          </w:p>
        </w:tc>
      </w:tr>
      <w:tr>
        <w:trPr>
          <w:trHeight w:val="398"/>
        </w:trPr>
        <w:tc>
          <w:tcPr>
            <w:shd w:val="clear" w:color="auto" w:fill="auto"/>
            <w:tcBorders>
              <w:top w:val="none" w:color="000000" w:sz="4" w:space="0"/>
              <w:left w:val="single" w:color="000000" w:sz="4" w:space="0"/>
              <w:bottom w:val="single" w:color="000000" w:sz="4" w:space="0"/>
              <w:right w:val="single" w:color="000000" w:sz="4" w:space="0"/>
            </w:tcBorders>
            <w:tcW w:w="1021"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123"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木门</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2706"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工业</w:t>
            </w:r>
            <w:r/>
          </w:p>
        </w:tc>
      </w:tr>
      <w:tr>
        <w:trPr>
          <w:trHeight w:val="398"/>
        </w:trPr>
        <w:tc>
          <w:tcPr>
            <w:shd w:val="clear" w:color="auto" w:fill="auto"/>
            <w:tcBorders>
              <w:top w:val="none" w:color="000000" w:sz="4" w:space="0"/>
              <w:left w:val="single" w:color="000000" w:sz="4" w:space="0"/>
              <w:bottom w:val="single" w:color="000000" w:sz="4" w:space="0"/>
              <w:right w:val="single" w:color="000000" w:sz="4" w:space="0"/>
            </w:tcBorders>
            <w:tcW w:w="1021"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123"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顶部喷黑处理</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706"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工业</w:t>
            </w:r>
            <w:r/>
          </w:p>
        </w:tc>
      </w:tr>
      <w:tr>
        <w:trPr>
          <w:trHeight w:val="398"/>
        </w:trPr>
        <w:tc>
          <w:tcPr>
            <w:shd w:val="clear" w:color="auto" w:fill="auto"/>
            <w:tcBorders>
              <w:top w:val="none" w:color="000000" w:sz="4" w:space="0"/>
              <w:left w:val="single" w:color="000000" w:sz="4" w:space="0"/>
              <w:bottom w:val="single" w:color="000000" w:sz="4" w:space="0"/>
              <w:right w:val="single" w:color="000000" w:sz="4" w:space="0"/>
            </w:tcBorders>
            <w:tcW w:w="1021"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123"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踢脚线处理</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2706"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工业</w:t>
            </w:r>
            <w:r/>
          </w:p>
        </w:tc>
      </w:tr>
      <w:tr>
        <w:trPr>
          <w:trHeight w:val="398"/>
        </w:trPr>
        <w:tc>
          <w:tcPr>
            <w:shd w:val="clear" w:color="auto" w:fill="auto"/>
            <w:tcBorders>
              <w:top w:val="none" w:color="000000" w:sz="4" w:space="0"/>
              <w:left w:val="single" w:color="000000" w:sz="4" w:space="0"/>
              <w:bottom w:val="single" w:color="000000" w:sz="4" w:space="0"/>
              <w:right w:val="single" w:color="000000" w:sz="4" w:space="0"/>
            </w:tcBorders>
            <w:tcW w:w="1021"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123"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踢脚线</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2706"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工业</w:t>
            </w:r>
            <w:r/>
          </w:p>
        </w:tc>
      </w:tr>
      <w:tr>
        <w:trPr>
          <w:trHeight w:val="398"/>
        </w:trPr>
        <w:tc>
          <w:tcPr>
            <w:shd w:val="clear" w:color="auto" w:fill="auto"/>
            <w:tcBorders>
              <w:top w:val="none" w:color="000000" w:sz="4" w:space="0"/>
              <w:left w:val="single" w:color="000000" w:sz="4" w:space="0"/>
              <w:bottom w:val="single" w:color="000000" w:sz="4" w:space="0"/>
              <w:right w:val="single" w:color="000000" w:sz="4" w:space="0"/>
            </w:tcBorders>
            <w:tcW w:w="1021"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123"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普通照明</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706"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工业</w:t>
            </w:r>
            <w:r/>
          </w:p>
        </w:tc>
      </w:tr>
      <w:tr>
        <w:trPr>
          <w:trHeight w:val="398"/>
        </w:trPr>
        <w:tc>
          <w:tcPr>
            <w:shd w:val="clear" w:color="auto" w:fill="auto"/>
            <w:tcBorders>
              <w:top w:val="none" w:color="000000" w:sz="4" w:space="0"/>
              <w:left w:val="single" w:color="000000" w:sz="4" w:space="0"/>
              <w:bottom w:val="single" w:color="000000" w:sz="4" w:space="0"/>
              <w:right w:val="single" w:color="000000" w:sz="4" w:space="0"/>
            </w:tcBorders>
            <w:tcW w:w="1021"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123"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电源控制</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2706"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工业</w:t>
            </w:r>
            <w:r/>
          </w:p>
        </w:tc>
      </w:tr>
      <w:tr>
        <w:trPr>
          <w:trHeight w:val="400"/>
        </w:trPr>
        <w:tc>
          <w:tcPr>
            <w:gridSpan w:val="4"/>
            <w:shd w:val="clear" w:color="auto" w:fill="auto"/>
            <w:tcBorders>
              <w:top w:val="single" w:color="000000" w:sz="4" w:space="0"/>
              <w:left w:val="single" w:color="000000" w:sz="4" w:space="0"/>
              <w:bottom w:val="single" w:color="000000" w:sz="4" w:space="0"/>
              <w:right w:val="single" w:color="000000" w:sz="4" w:space="0"/>
            </w:tcBorders>
            <w:tcW w:w="7404"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cs="宋体"/>
                <w:b/>
                <w:bCs/>
                <w:i w:val="0"/>
                <w:iCs w:val="0"/>
                <w:color w:val="auto"/>
                <w:sz w:val="22"/>
                <w:szCs w:val="22"/>
                <w:highlight w:val="none"/>
                <w:u w:val="none"/>
                <w:lang w:val="en-US" w:eastAsia="zh-CN" w:bidi="ar"/>
              </w:rPr>
              <w:t xml:space="preserve">                     </w:t>
            </w:r>
            <w:r>
              <w:rPr>
                <w:rFonts w:hint="eastAsia" w:ascii="宋体" w:hAnsi="宋体" w:eastAsia="宋体" w:cs="宋体"/>
                <w:b/>
                <w:bCs/>
                <w:i w:val="0"/>
                <w:iCs w:val="0"/>
                <w:color w:val="auto"/>
                <w:sz w:val="22"/>
                <w:szCs w:val="22"/>
                <w:highlight w:val="none"/>
                <w:u w:val="none"/>
                <w:lang w:val="en-US" w:eastAsia="zh-CN" w:bidi="ar"/>
              </w:rPr>
              <w:t xml:space="preserve">五、校园防欺凌</w:t>
            </w:r>
            <w:r/>
          </w:p>
        </w:tc>
        <w:tc>
          <w:tcPr>
            <w:shd w:val="clear" w:color="auto" w:fill="auto"/>
            <w:tcBorders>
              <w:top w:val="single" w:color="000000" w:sz="4" w:space="0"/>
              <w:left w:val="single" w:color="000000" w:sz="4" w:space="0"/>
              <w:bottom w:val="single" w:color="000000" w:sz="4" w:space="0"/>
              <w:right w:val="single" w:color="000000" w:sz="4" w:space="0"/>
            </w:tcBorders>
            <w:tcW w:w="2706"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123"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紧急报警盒</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706"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工业</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3123"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存储卡（SD卡）</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706"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工业</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123"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紧急报警管理主机</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706"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工业</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123"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存储卡（SD卡）</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2706"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工业</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123"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紧急报警管理软件</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706"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软件和信息技术服务业</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123"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软件服务器</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706"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工业</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123"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教育综合安防管理平台基础包</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软件和信息技术服务业</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123"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紧急报警</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路</w:t>
            </w:r>
            <w:r/>
          </w:p>
        </w:tc>
        <w:tc>
          <w:tcPr>
            <w:shd w:val="clear" w:color="auto" w:fill="ffffff"/>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软件和信息技术服务业</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123"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防欺凌预警</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715"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软件和信息技术服务业</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123"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平台服务器</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none" w:color="000000" w:sz="4" w:space="0"/>
              <w:right w:val="single" w:color="000000" w:sz="4" w:space="0"/>
            </w:tcBorders>
            <w:tcW w:w="1715"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ffffff"/>
            <w:tcBorders>
              <w:top w:val="single" w:color="000000" w:sz="4" w:space="0"/>
              <w:left w:val="single" w:color="000000" w:sz="4" w:space="0"/>
              <w:bottom w:val="none" w:color="000000" w:sz="4" w:space="0"/>
              <w:right w:val="single" w:color="000000" w:sz="4" w:space="0"/>
            </w:tcBorders>
            <w:tcW w:w="2706" w:type="dxa"/>
            <w:vAlign w:val="center"/>
            <w:textDirection w:val="lrTb"/>
            <w:noWrap w:val="false"/>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工业</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123"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2706"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工业</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123"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706"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工业</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1021"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123"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15"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2706" w:type="dxa"/>
            <w:vAlign w:val="center"/>
            <w:textDirection w:val="lrTb"/>
            <w:noWrap/>
          </w:tcPr>
          <w:p>
            <w:pPr>
              <w:ind w:firstLine="0"/>
              <w:jc w:val="center"/>
              <w:keepLines w:val="0"/>
              <w:keepNext w:val="0"/>
              <w:pageBreakBefore w:val="0"/>
              <w:spacing w:line="240" w:lineRule="atLeast"/>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工业</w:t>
            </w:r>
            <w:r/>
          </w:p>
        </w:tc>
      </w:tr>
    </w:tbl>
    <w:p>
      <w:pPr>
        <w:numPr>
          <w:ilvl w:val="0"/>
          <w:numId w:val="0"/>
        </w:numPr>
        <w:ind w:firstLine="241"/>
        <w:rPr>
          <w:rFonts w:hint="eastAsia" w:ascii="宋体" w:hAnsi="宋体" w:eastAsia="宋体" w:cs="宋体"/>
          <w:b/>
          <w:color w:val="auto"/>
          <w:sz w:val="24"/>
          <w:highlight w:val="none"/>
          <w:lang w:eastAsia="zh-CN"/>
        </w:rPr>
      </w:pPr>
      <w:r>
        <w:rPr>
          <w:rFonts w:hint="eastAsia" w:ascii="宋体" w:hAnsi="宋体" w:eastAsia="宋体" w:cs="宋体"/>
          <w:b/>
          <w:color w:val="auto"/>
          <w:sz w:val="24"/>
          <w:szCs w:val="24"/>
          <w:highlight w:val="none"/>
          <w:lang w:val="en-US" w:eastAsia="zh-CN" w:bidi="ar-SA"/>
        </w:rPr>
        <w:t xml:space="preserve">二、</w:t>
      </w:r>
      <w:r>
        <w:rPr>
          <w:rFonts w:hint="eastAsia" w:ascii="宋体" w:hAnsi="宋体" w:eastAsia="宋体" w:cs="宋体"/>
          <w:b/>
          <w:color w:val="auto"/>
          <w:sz w:val="24"/>
          <w:highlight w:val="none"/>
          <w:lang w:eastAsia="zh-CN"/>
        </w:rPr>
        <w:t xml:space="preserve">技术要求</w:t>
      </w:r>
      <w:r/>
    </w:p>
    <w:p>
      <w:pPr>
        <w:numPr>
          <w:ilvl w:val="0"/>
          <w:numId w:val="0"/>
        </w:numPr>
        <w:rPr>
          <w:rFonts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lang w:val="en-US" w:eastAsia="zh-CN"/>
        </w:rPr>
        <w:t xml:space="preserve">  2.1 技术指标</w:t>
      </w:r>
      <w:r/>
    </w:p>
    <w:tbl>
      <w:tblPr>
        <w:tblStyle w:val="844"/>
        <w:tblW w:w="1008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14"/>
        <w:gridCol w:w="1639"/>
        <w:gridCol w:w="6463"/>
        <w:gridCol w:w="623"/>
        <w:gridCol w:w="543"/>
      </w:tblGrid>
      <w:tr>
        <w:trPr>
          <w:jc w:val="center"/>
          <w:trHeight w:val="90"/>
        </w:trPr>
        <w:tc>
          <w:tcPr>
            <w:shd w:val="clear" w:color="auto" w:fill="ffffff"/>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序号</w:t>
            </w:r>
            <w:r/>
          </w:p>
        </w:tc>
        <w:tc>
          <w:tcPr>
            <w:shd w:val="clear" w:color="auto" w:fill="ffffff"/>
            <w:tcBorders>
              <w:top w:val="single" w:color="auto" w:sz="4" w:space="0"/>
              <w:left w:val="single" w:color="auto" w:sz="4" w:space="0"/>
              <w:bottom w:val="single" w:color="auto" w:sz="4" w:space="0"/>
              <w:right w:val="single" w:color="auto" w:sz="4" w:space="0"/>
            </w:tcBorders>
            <w:tcW w:w="163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设备名称</w:t>
            </w:r>
            <w:r/>
          </w:p>
        </w:tc>
        <w:tc>
          <w:tcPr>
            <w:shd w:val="clear" w:color="auto" w:fill="ffffff"/>
            <w:tcBorders>
              <w:top w:val="single" w:color="auto" w:sz="4" w:space="0"/>
              <w:left w:val="single" w:color="auto" w:sz="4" w:space="0"/>
              <w:bottom w:val="single" w:color="auto" w:sz="4" w:space="0"/>
              <w:right w:val="single" w:color="auto" w:sz="4" w:space="0"/>
            </w:tcBorders>
            <w:tcW w:w="646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功能参数</w:t>
            </w:r>
            <w:r/>
          </w:p>
        </w:tc>
        <w:tc>
          <w:tcPr>
            <w:shd w:val="clear" w:color="auto" w:fill="ffffff"/>
            <w:tcBorders>
              <w:top w:val="single" w:color="auto" w:sz="4" w:space="0"/>
              <w:left w:val="single" w:color="auto" w:sz="4" w:space="0"/>
              <w:bottom w:val="single" w:color="auto" w:sz="4" w:space="0"/>
              <w:right w:val="single" w:color="auto" w:sz="4" w:space="0"/>
            </w:tcBorders>
            <w:tcW w:w="62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数量</w:t>
            </w:r>
            <w:r/>
          </w:p>
        </w:tc>
        <w:tc>
          <w:tcPr>
            <w:shd w:val="clear" w:color="auto" w:fill="ffffff"/>
            <w:tcBorders>
              <w:top w:val="single" w:color="auto" w:sz="4" w:space="0"/>
              <w:left w:val="single" w:color="auto" w:sz="4" w:space="0"/>
              <w:bottom w:val="single" w:color="auto" w:sz="4" w:space="0"/>
              <w:right w:val="single" w:color="auto" w:sz="4" w:space="0"/>
            </w:tcBorders>
            <w:tcW w:w="54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单位</w:t>
            </w:r>
            <w:r/>
          </w:p>
        </w:tc>
      </w:tr>
      <w:tr>
        <w:trPr>
          <w:jc w:val="center"/>
          <w:trHeight w:val="380"/>
        </w:trPr>
        <w:tc>
          <w:tcPr>
            <w:gridSpan w:val="5"/>
            <w:shd w:val="clear" w:color="auto" w:fill="ffffff"/>
            <w:tcBorders>
              <w:top w:val="single" w:color="auto" w:sz="4" w:space="0"/>
              <w:left w:val="single" w:color="auto" w:sz="4" w:space="0"/>
              <w:bottom w:val="single" w:color="auto" w:sz="4" w:space="0"/>
              <w:right w:val="single" w:color="auto" w:sz="4" w:space="0"/>
            </w:tcBorders>
            <w:tcW w:w="1008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数字音乐创客教室</w:t>
            </w:r>
            <w:r/>
          </w:p>
        </w:tc>
      </w:tr>
      <w:tr>
        <w:trPr>
          <w:jc w:val="center"/>
          <w:trHeight w:val="820"/>
        </w:trPr>
        <w:tc>
          <w:tcPr>
            <w:shd w:val="clear" w:color="auto" w:fill="ffffff"/>
            <w:tcBorders>
              <w:top w:val="single" w:color="auto" w:sz="4" w:space="0"/>
              <w:left w:val="single" w:color="000000" w:sz="4" w:space="0"/>
              <w:bottom w:val="single" w:color="000000" w:sz="4" w:space="0"/>
              <w:right w:val="single" w:color="000000" w:sz="4" w:space="0"/>
            </w:tcBorders>
            <w:tcW w:w="81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auto" w:sz="4" w:space="0"/>
              <w:left w:val="single" w:color="000000" w:sz="4" w:space="0"/>
              <w:bottom w:val="single" w:color="000000" w:sz="4" w:space="0"/>
              <w:right w:val="single" w:color="000000" w:sz="4" w:space="0"/>
            </w:tcBorders>
            <w:tcW w:w="163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教师操作管理主机</w:t>
            </w:r>
            <w:r/>
          </w:p>
        </w:tc>
        <w:tc>
          <w:tcPr>
            <w:shd w:val="clear" w:color="auto" w:fill="auto"/>
            <w:tcBorders>
              <w:top w:val="single" w:color="auto" w:sz="4" w:space="0"/>
              <w:left w:val="single" w:color="000000" w:sz="4" w:space="0"/>
              <w:bottom w:val="single" w:color="000000" w:sz="4" w:space="0"/>
              <w:right w:val="single" w:color="000000" w:sz="4" w:space="0"/>
            </w:tcBorders>
            <w:tcW w:w="6463" w:type="dxa"/>
            <w:vAlign w:val="top"/>
            <w:textDirection w:val="lrTb"/>
            <w:noWrap w:val="false"/>
          </w:tcPr>
          <w:p>
            <w:pPr>
              <w:ind w:firstLine="0"/>
              <w:jc w:val="left"/>
              <w:keepLines w:val="0"/>
              <w:keepNext w:val="0"/>
              <w:pageBreakBefore w:val="0"/>
              <w:spacing w:line="240" w:lineRule="auto"/>
              <w:widowControl/>
              <w:rPr>
                <w:rFonts w:hint="eastAsia" w:ascii="宋体" w:hAnsi="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1.高性能触摸屏；</w:t>
            </w:r>
            <w:r>
              <w:rPr>
                <w:rFonts w:hint="eastAsia" w:ascii="宋体" w:hAnsi="宋体" w:cs="宋体"/>
                <w:i w:val="0"/>
                <w:iCs w:val="0"/>
                <w:color w:val="auto"/>
                <w:sz w:val="18"/>
                <w:szCs w:val="18"/>
                <w:highlight w:val="none"/>
                <w:u w:val="none"/>
                <w:lang w:val="en-US" w:eastAsia="zh-CN" w:bidi="ar"/>
              </w:rPr>
              <w:t xml:space="preserve">  </w:t>
            </w:r>
            <w:r/>
          </w:p>
          <w:p>
            <w:pPr>
              <w:ind w:firstLine="0"/>
              <w:jc w:val="left"/>
              <w:keepLines w:val="0"/>
              <w:keepNext w:val="0"/>
              <w:pageBreakBefore w:val="0"/>
              <w:spacing w:line="240" w:lineRule="auto"/>
              <w:widowControl/>
              <w:rPr>
                <w:rFonts w:hint="eastAsia" w:ascii="宋体" w:hAnsi="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2.四核八线程处理器处理器；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3.内存≥4G；</w:t>
            </w:r>
            <w:r>
              <w:rPr>
                <w:rFonts w:hint="eastAsia" w:ascii="宋体" w:hAnsi="宋体" w:cs="宋体"/>
                <w:i w:val="0"/>
                <w:iCs w:val="0"/>
                <w:color w:val="auto"/>
                <w:sz w:val="18"/>
                <w:szCs w:val="18"/>
                <w:highlight w:val="none"/>
                <w:u w:val="none"/>
                <w:lang w:val="en-US" w:eastAsia="zh-CN" w:bidi="ar"/>
              </w:rPr>
              <w:t xml:space="preserve">     </w:t>
            </w:r>
            <w:r/>
          </w:p>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4.硬盘≥500G；</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5.触摸屏≥21寸多点触摸；</w:t>
            </w:r>
            <w:r/>
          </w:p>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6.分辨率≥1920*1080；        </w:t>
            </w:r>
            <w:r/>
          </w:p>
        </w:tc>
        <w:tc>
          <w:tcPr>
            <w:shd w:val="clear" w:color="auto" w:fill="auto"/>
            <w:tcBorders>
              <w:top w:val="single" w:color="auto" w:sz="4" w:space="0"/>
              <w:left w:val="single" w:color="000000" w:sz="4" w:space="0"/>
              <w:bottom w:val="single" w:color="000000" w:sz="4" w:space="0"/>
              <w:right w:val="single" w:color="000000" w:sz="4" w:space="0"/>
            </w:tcBorders>
            <w:tcW w:w="62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auto" w:sz="4" w:space="0"/>
              <w:left w:val="single" w:color="000000" w:sz="4" w:space="0"/>
              <w:bottom w:val="single" w:color="000000" w:sz="4" w:space="0"/>
              <w:right w:val="single" w:color="000000" w:sz="4" w:space="0"/>
            </w:tcBorders>
            <w:tcW w:w="54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r>
      <w:tr>
        <w:trPr>
          <w:jc w:val="center"/>
          <w:trHeight w:val="290"/>
        </w:trPr>
        <w:tc>
          <w:tcPr>
            <w:shd w:val="clear" w:color="auto" w:fill="ffffff"/>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主控操作台</w:t>
            </w:r>
            <w:r/>
          </w:p>
        </w:tc>
        <w:tc>
          <w:tcPr>
            <w:shd w:val="clear" w:color="auto" w:fill="auto"/>
            <w:tcBorders>
              <w:top w:val="single" w:color="000000" w:sz="4" w:space="0"/>
              <w:left w:val="single" w:color="000000" w:sz="4" w:space="0"/>
              <w:bottom w:val="single" w:color="000000" w:sz="4" w:space="0"/>
              <w:right w:val="single" w:color="000000" w:sz="4" w:space="0"/>
            </w:tcBorders>
            <w:tcW w:w="6463" w:type="dxa"/>
            <w:vAlign w:val="top"/>
            <w:textDirection w:val="lrTb"/>
            <w:noWrap w:val="false"/>
          </w:tcPr>
          <w:p>
            <w:pPr>
              <w:ind w:firstLine="0"/>
              <w:jc w:val="left"/>
              <w:keepLines w:val="0"/>
              <w:keepNext w:val="0"/>
              <w:pageBreakBefore w:val="0"/>
              <w:spacing w:line="240" w:lineRule="auto"/>
              <w:widowControl/>
              <w:rPr>
                <w:rFonts w:hint="eastAsia" w:ascii="宋体" w:hAnsi="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 颜色：白色；</w:t>
            </w:r>
            <w:r>
              <w:rPr>
                <w:rFonts w:hint="eastAsia" w:ascii="宋体" w:hAnsi="宋体" w:cs="宋体"/>
                <w:i w:val="0"/>
                <w:iCs w:val="0"/>
                <w:color w:val="auto"/>
                <w:sz w:val="18"/>
                <w:szCs w:val="18"/>
                <w:highlight w:val="none"/>
                <w:u w:val="none"/>
                <w:lang w:val="en-US" w:eastAsia="zh-CN" w:bidi="ar"/>
              </w:rPr>
              <w:t xml:space="preserve">     </w:t>
            </w:r>
            <w:r/>
          </w:p>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 材质：木质烤漆；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 环保耐用、光泽度高、耐潮湿；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 一体式桌身，简约美观；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 背面装饰音乐元素；</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 周边LED灯带环绕；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 抽屉可容纳88键midi键盘或电钢琴；</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 尺寸：1600*700*800mm。</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jc w:val="center"/>
          <w:trHeight w:val="2700"/>
        </w:trPr>
        <w:tc>
          <w:tcPr>
            <w:shd w:val="clear" w:color="auto" w:fill="ffffff"/>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教师专用电钢琴</w:t>
            </w:r>
            <w:r/>
          </w:p>
        </w:tc>
        <w:tc>
          <w:tcPr>
            <w:shd w:val="clear" w:color="auto" w:fill="auto"/>
            <w:tcBorders>
              <w:top w:val="single" w:color="000000" w:sz="4" w:space="0"/>
              <w:left w:val="single" w:color="000000" w:sz="4" w:space="0"/>
              <w:bottom w:val="single" w:color="000000" w:sz="4" w:space="0"/>
              <w:right w:val="single" w:color="000000" w:sz="4" w:space="0"/>
            </w:tcBorders>
            <w:tcW w:w="6463" w:type="dxa"/>
            <w:vAlign w:val="top"/>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1.高保真PCM立体声采样;</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2.复音数：64;</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3.键数及音域：88键  A2-c5;</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4.音色数：163种立体声i-PCM音色，USB接口，民族音色25，鼓组9组，民族打击乐器1组;</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5.键盘：88键带杠杆重锤和力度的国际标准钢琴手感键盘;</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6.力度感应：4级，伴奏风格：100种最新流行的伴奏风格;</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7.音色控制：双音色  延音  力度  DSP效果  移调  微调;</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8.伴奏控制：同步启动  启动/停止  主奏A  主奏B  节拍器，前奏/尾奏  自动和弦;</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9.效果器：DSP数字效果器（混响  合唱  回声） 颤音;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10.录制乐曲：5首大于10000个音符;</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r>
      <w:tr>
        <w:trPr>
          <w:jc w:val="center"/>
          <w:trHeight w:val="2250"/>
        </w:trPr>
        <w:tc>
          <w:tcPr>
            <w:shd w:val="clear" w:color="auto" w:fill="ffffff"/>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教师专用声卡</w:t>
            </w:r>
            <w:r/>
          </w:p>
        </w:tc>
        <w:tc>
          <w:tcPr>
            <w:shd w:val="clear" w:color="auto" w:fill="auto"/>
            <w:tcBorders>
              <w:top w:val="single" w:color="000000" w:sz="4" w:space="0"/>
              <w:left w:val="single" w:color="000000" w:sz="4" w:space="0"/>
              <w:bottom w:val="single" w:color="000000" w:sz="4" w:space="0"/>
              <w:right w:val="single" w:color="000000" w:sz="4" w:space="0"/>
            </w:tcBorders>
            <w:tcW w:w="6463" w:type="dxa"/>
            <w:vAlign w:val="top"/>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1.支持24bit/192kHz的4进4出USB2.0高速声卡；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2.1路XLR话筒输入；</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3.1路TRS（支持话筒/乐器）输入48V 幻象电源；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4.2路独立TRS线性电平输入；</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5.4路独立 RS线性电平输出；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6.带音量控制立体声耳机输出；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7.提供2路虚拟音频通道方便内录及音频格式转换；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8.矩阵跳线功能可以在不同输入、输出之间任意调整；</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9.专业 ASIO/WDM 驱动；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10.仅需USB供电实现全部功能，不需额外供电。</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r>
      <w:tr>
        <w:trPr>
          <w:jc w:val="center"/>
          <w:trHeight w:val="2475"/>
        </w:trPr>
        <w:tc>
          <w:tcPr>
            <w:shd w:val="clear" w:color="auto" w:fill="ffffff"/>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教师专用音箱</w:t>
            </w:r>
            <w:r/>
          </w:p>
        </w:tc>
        <w:tc>
          <w:tcPr>
            <w:shd w:val="clear" w:color="auto" w:fill="auto"/>
            <w:tcBorders>
              <w:top w:val="single" w:color="000000" w:sz="4" w:space="0"/>
              <w:left w:val="single" w:color="000000" w:sz="4" w:space="0"/>
              <w:bottom w:val="single" w:color="000000" w:sz="4" w:space="0"/>
              <w:right w:val="single" w:color="000000" w:sz="4" w:space="0"/>
            </w:tcBorders>
            <w:tcW w:w="6463" w:type="dxa"/>
            <w:vAlign w:val="top"/>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1.频率响应：27Hz to 21 KHz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2.输入电平85dB SPL @1m:  -15dBu RMS @ odB setting</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3.功率消耗：闲置: 10W /最高: 180W</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4.放大器功率 低音120W，高音80W</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5.原理：低音反射</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6.风孔调谐频率：32Hz</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7.内部容积：6升</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8.交叉频率：2.1KHz</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9.交叉斜率：12dB/oct</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10.高音单元：25毫米1寸号角钕磁铁高音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11.低音单元：10寸复合振膜低音单元</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对</w:t>
            </w:r>
            <w:r/>
          </w:p>
        </w:tc>
      </w:tr>
      <w:tr>
        <w:trPr>
          <w:jc w:val="center"/>
          <w:trHeight w:val="1800"/>
        </w:trPr>
        <w:tc>
          <w:tcPr>
            <w:shd w:val="clear" w:color="auto" w:fill="ffffff"/>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教师机鼠标键盘套装</w:t>
            </w:r>
            <w:r/>
          </w:p>
        </w:tc>
        <w:tc>
          <w:tcPr>
            <w:shd w:val="clear" w:color="auto" w:fill="auto"/>
            <w:tcBorders>
              <w:top w:val="single" w:color="000000" w:sz="4" w:space="0"/>
              <w:left w:val="single" w:color="000000" w:sz="4" w:space="0"/>
              <w:bottom w:val="single" w:color="000000" w:sz="4" w:space="0"/>
              <w:right w:val="single" w:color="000000" w:sz="4" w:space="0"/>
            </w:tcBorders>
            <w:tcW w:w="6463" w:type="dxa"/>
            <w:vAlign w:val="top"/>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1.最高分辨率：1000bpi</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2.连接类型：无线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3.按键技术：火山口架构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4.多媒体功能键：有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5.供电模式：USB供电</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6.键鼠套装接口：USB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7.工作方式：光电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8.产品尺寸约为：62x113x39mm</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r>
      <w:tr>
        <w:trPr>
          <w:jc w:val="center"/>
          <w:trHeight w:val="1125"/>
        </w:trPr>
        <w:tc>
          <w:tcPr>
            <w:shd w:val="clear" w:color="auto" w:fill="ffffff"/>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教师椅</w:t>
            </w:r>
            <w:r/>
          </w:p>
        </w:tc>
        <w:tc>
          <w:tcPr>
            <w:shd w:val="clear" w:color="auto" w:fill="auto"/>
            <w:tcBorders>
              <w:top w:val="single" w:color="000000" w:sz="4" w:space="0"/>
              <w:left w:val="single" w:color="000000" w:sz="4" w:space="0"/>
              <w:bottom w:val="single" w:color="000000" w:sz="4" w:space="0"/>
              <w:right w:val="single" w:color="000000" w:sz="4" w:space="0"/>
            </w:tcBorders>
            <w:tcW w:w="6463" w:type="dxa"/>
            <w:vAlign w:val="top"/>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1.白色、实木框架、环保烤漆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2.抗划伤抗撕裂PU皮革</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3.高密度回弹海绵</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4.凳腿防滑垫设计、防滑、安全、保护地板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5.尺寸：740*340*480mm(长*宽*高)</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jc w:val="center"/>
          <w:trHeight w:val="8190"/>
        </w:trPr>
        <w:tc>
          <w:tcPr>
            <w:shd w:val="clear" w:color="auto" w:fill="ffffff"/>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音乐互动教学软件-学生端</w:t>
            </w:r>
            <w:r/>
          </w:p>
        </w:tc>
        <w:tc>
          <w:tcPr>
            <w:shd w:val="clear" w:color="auto" w:fill="auto"/>
            <w:tcBorders>
              <w:top w:val="single" w:color="000000" w:sz="4" w:space="0"/>
              <w:left w:val="single" w:color="000000" w:sz="4" w:space="0"/>
              <w:bottom w:val="single" w:color="000000" w:sz="4" w:space="0"/>
              <w:right w:val="single" w:color="000000" w:sz="4" w:space="0"/>
            </w:tcBorders>
            <w:tcW w:w="6463" w:type="dxa"/>
            <w:vAlign w:val="top"/>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本软件分为：视唱辅助系统、乐理学习系统、百科知识、乐感培养系统、音乐测评系统。</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一、视唱辅助系统:在图片（乐谱、简谱、手写谱）上快速确定多媒体（音频、视频）播放顺序，可进行教学中对乐曲小节或段的反复训练、同步播放、同步跳转、同步翻页，并运用同步标签和线性插值的办法，得到任意时刻多媒体在图片上的位置，实现了将多媒体定位信息进行保存，以供以后多次载入使用。利用“模式识别”技术，自动识别选定乐谱图片区域的行、小节线，帮助学生从多维度提高自己的音乐知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二、乐理学习系统：</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1）还 原各种乐器的声音，利用真声采样，在没有真实乐器的条件下，让学生认识和学习各种各样乐器（包括：木管乐器、铜管乐器、弦乐乐器、打击乐器、键盘乐器等多种类型）的图形和音色。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 清晰可见每个调号，主要用于调式的学习，教师可将基础音阶排列与谱面，轻触（旋转）转盘音符及调号会根据所选调进行同步改变。</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 严谨地展现出乐理中的音程、和弦、简谱、音名，与乐理教学区同步显示打谱过程，即时呈现各类乐理教学内容（音符、节奏型、调号、拍号、音乐表情术语等）让老师能够在多音程的方式下方便于教学几度关系,使音乐课堂变得更为丰富.可以让学生清晰明确的将五线谱与简谱及不同谱表上的音与音名相对应起来学习，也可以轻松智能的学习音程、和弦的性质（构成方式），让学生深刻直观的掌握乐理内在联系，培养学生整体的音乐全局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 音符标准规则编辑、音乐记号输入、学生编辑的曲目即可播放和修改也可即时保存或导出MIDI格式。学生可以参与创编，真正做到了参与音乐、表现音乐、创造音乐。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三、百科知识：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集合课堂教学中常出现、常使用的乐理知识，搜索窗口可进行模糊搜索并附带乐理示例。还可进行对比比较两个相近音符的区别，双击屏可看到注解、示例、同时可发音也可看到在五线谱上的位置变化。提高学生的音乐素养。</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四、乐感培养系统：</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1）节拍部分能够模拟和表现教学大纲中要求的所有节拍乐器的声音和形状，如鼓、双响筒、沙锤、摇铃等，可实现分组分乐器的节拍互动练习。</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旋律乐感培养部分需将MIDI键盘结合到功能中，学生能够通过系统认识到旋律的构成及组合。可配合网络实现多人、多乐器的针对性教学互动。高度仿真西洋、民族乐器音色，并配有简图，使学生对乐器的声音形状有所了解。</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3）课堂乐器教学部分可通过吹奏竖笛、模拟吹奏竖笛从而了解竖笛的构造、弹奏指法、吹奏气息并学习示范曲目，通过竖笛的吹奏训练培养学生的音乐感知能力。</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五、音乐测评系统：</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将音乐课程标准中的各项要求进行详细的考察与测试，测试的题型分为选择题、填空题、连线题与旋律题四大类，测试的结果会及时地反馈到教师终端，并以饼状图、分项列表的形式展示出来。提高学生在乐理、视唱、乐器、欣赏、乐感与创作等多面的理论知识与素养。</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r>
      <w:tr>
        <w:trPr>
          <w:jc w:val="center"/>
          <w:trHeight w:val="8190"/>
        </w:trPr>
        <w:tc>
          <w:tcPr>
            <w:shd w:val="clear" w:color="auto" w:fill="ffffff"/>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音乐互动教学软件-教师端</w:t>
            </w:r>
            <w:r/>
          </w:p>
        </w:tc>
        <w:tc>
          <w:tcPr>
            <w:shd w:val="clear" w:color="auto" w:fill="auto"/>
            <w:tcBorders>
              <w:top w:val="single" w:color="000000" w:sz="4" w:space="0"/>
              <w:left w:val="single" w:color="000000" w:sz="4" w:space="0"/>
              <w:bottom w:val="single" w:color="000000" w:sz="4" w:space="0"/>
              <w:right w:val="single" w:color="000000" w:sz="4" w:space="0"/>
            </w:tcBorders>
            <w:tcW w:w="6463" w:type="dxa"/>
            <w:vAlign w:val="top"/>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一、视唱辅助系统：</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 在乐谱（五线谱、简谱、手写谱）上快速确定多媒体（音频、视频）播放顺序，精确点击播放，播放过程中有醒目色带条同步显示，可对乐谱放大显示、可进行教学中对乐曲小节或者段的反复训练、同步播放、同步跳转、同步翻页。利用“模式识别”技术，可自动识别乐谱的行、小节线，帮助音乐老师对视唱练耳的有效提高。</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 可对音乐教材或乐谱进行智能结构分段、区域自由定义、乐段实例分析、能在乐轴上划分乐句、乐段。编辑曲式结构图，作简要的和声分析，说明音乐内容。点击对应图元段落，谱音同步自动从相应时间轴位置播放，同时色带在对应位置跳转。使学生比较全面、系统的掌握各种曲式类型特征。培养和检验学生的曲式、音乐作品分析基本理论及应用能力。</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 可自主创作乐曲旋律，可即时播放、保存；可添加、修改、删除页或小节；支持各种音符、附点、升降记号的添加与编辑；调号、节拍、速度可自由选择。老师可点触谱曲开头做出示范小节并发送给学生，学生补充编创音乐内容，并提交系统，老师可查看学生提交的乐谱，可播放创编的作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二、乐理学习系统：</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1)可进行打谱，将打谱的乐段进行播放，可还原乐器的真实音色。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2)清晰可见每个调试、调号、调性的特征，显示调高与调高之间的循环关系。</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3)可选择木管乐器、铜管乐器、弦乐器、打击乐器、键盘乐器等多种类型的乐器，并可实时查看乐器的声音与形状，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4）可展示音符的形状与声音，重置所点音符、删除所点音符与小节等，可选择不同音符、不同节奏、不同谱型，学生进行相应的乐理课程学习。</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5)可进行竖笛结构教学、竖笛指法教学、竖笛吹奏气息教学、竖笛示范曲目教学等，学生进行相应的竖笛课程学习。</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三、教学拓展系统：</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1）百科：可以查看名人介绍、乐器介绍、乐理介绍、音乐常识介绍等，进行编辑等操作。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2）配器：可以实时播放、停止、删除师生创作的曲目，可以选择教学模式和互动模式，可以进行分配乐器操作。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3）互动打谱：可以打开、保存文件，教师和学生进行互动打谱，教师进行打谱教学，学生进行打谱学习，教师可以查看学生的提交上来的打谱内容。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四、乐感培养系统：</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针对乐感的核心部分--旋律和节拍设计单独的教学模块。整个乐感培养教学系统需要有由易到难的整体设计，提供教师控制教学步骤的整体工具。</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1）节拍部分能够模拟和表现教学大纲中要求的所有节拍乐器的声音和形状，如鼓、双响筒、沙锤、摇铃等，可实现分组分乐器的节拍互动练习。</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旋律乐感培养部分需将MIDI键盘结合到功能中，学生能够通过系统认识到旋律的构成及组合。可配合网络实现多人、多乐器的针对性教学互动。高度仿真西洋、民族乐器音色，并配有简图，使学生对乐器的声音形状有所了解。</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3）课堂乐器教学部分可通过吹奏竖笛、模拟吹奏竖笛从而了解竖笛的构造、弹奏指法、吹奏气息并学习示范曲目，通过竖笛的吹奏训练培养学生的音乐感知能力。</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五、音乐测评系统：</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1）考卷测试：可以自行编辑试卷名与出卷人信息，将所选试卷实时发送至学生，导入编辑好的试卷内容，学生端进行答题，教师端查看答题情况。</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2）随堂测试：可以制作选择题、连线题，发送给学生端，学生端进行答题，教师端可查看答题情况。</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3）测试情况：可以显示试卷ID、试卷名称、试卷发送次数、教师统计状况，可以删除试卷等操作。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六、教师备课系统</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专门独立的功能模块管理教师备课，将其他的功能模块与备课结合起来，确定每堂课的教学功能序列、调用资源、时间预算详细编辑。所有的备课细节能够进行报表打印，形成完整的备课报表系统。</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七、教师控制系统</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教师对数字化音乐教室的进行全面控制，使教师能够方便的控制各个设备终端及辅助设备，实现为满足不同的应用而进行的设备监视、控制、切换等操作。并且能根据课堂需求控制学生机状态。</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r>
      <w:tr>
        <w:trPr>
          <w:jc w:val="center"/>
          <w:trHeight w:val="1800"/>
        </w:trPr>
        <w:tc>
          <w:tcPr>
            <w:shd w:val="clear" w:color="auto" w:fill="ffffff"/>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学生操作机</w:t>
            </w:r>
            <w:r/>
          </w:p>
        </w:tc>
        <w:tc>
          <w:tcPr>
            <w:shd w:val="clear" w:color="auto" w:fill="auto"/>
            <w:tcBorders>
              <w:top w:val="single" w:color="000000" w:sz="4" w:space="0"/>
              <w:left w:val="single" w:color="000000" w:sz="4" w:space="0"/>
              <w:bottom w:val="single" w:color="000000" w:sz="4" w:space="0"/>
              <w:right w:val="single" w:color="000000" w:sz="4" w:space="0"/>
            </w:tcBorders>
            <w:tcW w:w="6463" w:type="dxa"/>
            <w:vAlign w:val="top"/>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1.四核八线程处理器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2.触摸屏≥18.5多点触摸</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3.内存≥4G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4.固态硬盘≥250G</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5.分辨率≥1366x768</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6.亮度：350-400cd/m2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7.输入电压：AC 110-240V，50/60Hz</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8.功耗：40W-60W。</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r>
      <w:tr>
        <w:trPr>
          <w:jc w:val="center"/>
          <w:trHeight w:val="1678"/>
        </w:trPr>
        <w:tc>
          <w:tcPr>
            <w:shd w:val="clear" w:color="auto" w:fill="ffffff"/>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学生操作台</w:t>
            </w:r>
            <w:r/>
          </w:p>
        </w:tc>
        <w:tc>
          <w:tcPr>
            <w:shd w:val="clear" w:color="auto" w:fill="auto"/>
            <w:tcBorders>
              <w:top w:val="single" w:color="000000" w:sz="4" w:space="0"/>
              <w:left w:val="single" w:color="000000" w:sz="4" w:space="0"/>
              <w:bottom w:val="single" w:color="000000" w:sz="4" w:space="0"/>
              <w:right w:val="single" w:color="000000" w:sz="4" w:space="0"/>
            </w:tcBorders>
            <w:tcW w:w="6463" w:type="dxa"/>
            <w:vAlign w:val="top"/>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1. 61键8级重锤力度键盘   2. 138音色(GSM128+10民族)    3. 100节奏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 50示范曲             5. 128复音数                 6. LCD显示屏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 三踏板               8. 和弦/同步            9. MIDI输出/输入</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 MP3接口             11. 音频输出/输入             12. 耳机接口</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13. USB接口（可连接电脑、IPAD平板电脑)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14. 电源输出/输入: 110V-240V(50Hz-60Hz)/15V 4A    </w:t>
            </w:r>
            <w:r/>
          </w:p>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 产品尺寸: 131.3*36*76.5cm</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r>
      <w:tr>
        <w:trPr>
          <w:jc w:val="center"/>
          <w:trHeight w:val="1125"/>
        </w:trPr>
        <w:tc>
          <w:tcPr>
            <w:shd w:val="clear" w:color="auto" w:fill="ffffff"/>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学生凳</w:t>
            </w:r>
            <w:r/>
          </w:p>
        </w:tc>
        <w:tc>
          <w:tcPr>
            <w:shd w:val="clear" w:color="auto" w:fill="auto"/>
            <w:tcBorders>
              <w:top w:val="single" w:color="000000" w:sz="4" w:space="0"/>
              <w:left w:val="single" w:color="000000" w:sz="4" w:space="0"/>
              <w:bottom w:val="single" w:color="000000" w:sz="4" w:space="0"/>
              <w:right w:val="single" w:color="000000" w:sz="4" w:space="0"/>
            </w:tcBorders>
            <w:tcW w:w="6463" w:type="dxa"/>
            <w:vAlign w:val="top"/>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1.尺寸：32*25*41cm。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2.纳米细密板六面体结构，采用模具成型软塑料边条经机械封饰，配有龄合型软防滑八角。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3.重量轻，坚固耐用。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4.颜色：红、黄、蓝、绿。</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jc w:val="center"/>
          <w:trHeight w:val="1125"/>
        </w:trPr>
        <w:tc>
          <w:tcPr>
            <w:shd w:val="clear" w:color="auto" w:fill="ffffff"/>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学生耳机</w:t>
            </w:r>
            <w:r/>
          </w:p>
        </w:tc>
        <w:tc>
          <w:tcPr>
            <w:shd w:val="clear" w:color="auto" w:fill="auto"/>
            <w:tcBorders>
              <w:top w:val="single" w:color="000000" w:sz="4" w:space="0"/>
              <w:left w:val="single" w:color="000000" w:sz="4" w:space="0"/>
              <w:bottom w:val="single" w:color="000000" w:sz="4" w:space="0"/>
              <w:right w:val="single" w:color="000000" w:sz="4" w:space="0"/>
            </w:tcBorders>
            <w:tcW w:w="6463" w:type="dxa"/>
            <w:vAlign w:val="top"/>
            <w:textDirection w:val="lrTb"/>
            <w:noWrap w:val="false"/>
          </w:tcPr>
          <w:p>
            <w:pPr>
              <w:ind w:firstLine="0"/>
              <w:jc w:val="left"/>
              <w:keepLines w:val="0"/>
              <w:keepNext w:val="0"/>
              <w:pageBreakBefore w:val="0"/>
              <w:spacing w:line="240" w:lineRule="auto"/>
              <w:widowControl/>
              <w:rPr>
                <w:rFonts w:hint="default" w:ascii="宋体" w:hAnsi="宋体" w:eastAsia="宋体" w:cs="宋体"/>
                <w:i w:val="0"/>
                <w:iCs w:val="0"/>
                <w:color w:val="auto"/>
                <w:sz w:val="18"/>
                <w:szCs w:val="18"/>
                <w:highlight w:val="none"/>
                <w:u w:val="none"/>
                <w:lang w:val="en-US"/>
              </w:rPr>
              <w:suppressLineNumbers w:val="0"/>
            </w:pPr>
            <w:r>
              <w:rPr>
                <w:rFonts w:hint="eastAsia" w:ascii="宋体" w:hAnsi="宋体" w:eastAsia="宋体" w:cs="宋体"/>
                <w:i w:val="0"/>
                <w:iCs w:val="0"/>
                <w:color w:val="auto"/>
                <w:sz w:val="18"/>
                <w:szCs w:val="18"/>
                <w:highlight w:val="none"/>
                <w:u w:val="none"/>
                <w:lang w:val="en-US" w:eastAsia="zh-CN" w:bidi="ar"/>
              </w:rPr>
              <w:t xml:space="preserve">1.佩戴方式: 头戴护耳式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2.耳机发声原理: 动圈</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3.耳机类型: 有线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4.插头直径: 3.5mm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5.兼容平台: Android Windows Phone iOS</w:t>
            </w:r>
            <w:r>
              <w:rPr>
                <w:rFonts w:hint="eastAsia" w:ascii="宋体" w:hAnsi="宋体" w:cs="宋体"/>
                <w:i w:val="0"/>
                <w:iCs w:val="0"/>
                <w:color w:val="auto"/>
                <w:sz w:val="18"/>
                <w:szCs w:val="18"/>
                <w:highlight w:val="none"/>
                <w:u w:val="none"/>
                <w:lang w:val="en-US" w:eastAsia="zh-CN" w:bidi="ar"/>
              </w:rPr>
              <w:t xml:space="preserve">等</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r>
      <w:tr>
        <w:trPr>
          <w:jc w:val="center"/>
          <w:trHeight w:val="2250"/>
        </w:trPr>
        <w:tc>
          <w:tcPr>
            <w:shd w:val="clear" w:color="auto" w:fill="ffffff"/>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网络交换机</w:t>
            </w:r>
            <w:r/>
          </w:p>
        </w:tc>
        <w:tc>
          <w:tcPr>
            <w:shd w:val="clear" w:color="auto" w:fill="auto"/>
            <w:tcBorders>
              <w:top w:val="single" w:color="000000" w:sz="4" w:space="0"/>
              <w:left w:val="single" w:color="000000" w:sz="4" w:space="0"/>
              <w:bottom w:val="single" w:color="000000" w:sz="4" w:space="0"/>
              <w:right w:val="single" w:color="000000" w:sz="4" w:space="0"/>
            </w:tcBorders>
            <w:tcW w:w="6463" w:type="dxa"/>
            <w:vAlign w:val="top"/>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1、交换容量≥432G，包转发率≥87Mpps；</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2、固化10/100/1000M以太网端口≥48个，固化1G SFP光接口≥4个；整机最大可用千兆口≥52个；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3、为满足工作场所的耐高温要求，要求设备具备0~50°的宽温设计；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4、为保证设备在受到外界机械碰撞时能够正常运行，要求所投交换机IK防护测试级别至少达到IK05；</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5、支持IPV4/IPV6静态路由；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6、支持基础网络安全保护策略，可实现ARP等各种攻击的自动防御，保护系统各种服务的正常运行。</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r>
      <w:tr>
        <w:trPr>
          <w:jc w:val="center"/>
          <w:trHeight w:val="450"/>
        </w:trPr>
        <w:tc>
          <w:tcPr>
            <w:shd w:val="clear" w:color="auto" w:fill="ffffff"/>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网络机柜</w:t>
            </w:r>
            <w:r/>
          </w:p>
        </w:tc>
        <w:tc>
          <w:tcPr>
            <w:shd w:val="clear" w:color="auto" w:fill="auto"/>
            <w:tcBorders>
              <w:top w:val="single" w:color="000000" w:sz="4" w:space="0"/>
              <w:left w:val="single" w:color="000000" w:sz="4" w:space="0"/>
              <w:bottom w:val="single" w:color="000000" w:sz="4" w:space="0"/>
              <w:right w:val="single" w:color="000000" w:sz="4" w:space="0"/>
            </w:tcBorders>
            <w:tcW w:w="6463" w:type="dxa"/>
            <w:vAlign w:val="top"/>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1.容积：标准18U；           2.材质：SPCC优质冷轧钢板；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3.顶部及底部均留有出线孔；   4.尺寸：1000mm*600mm*600mm。</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r>
      <w:tr>
        <w:trPr>
          <w:jc w:val="center"/>
          <w:trHeight w:val="3405"/>
        </w:trPr>
        <w:tc>
          <w:tcPr>
            <w:shd w:val="clear" w:color="auto" w:fill="ffffff"/>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一拖二无线话筒</w:t>
            </w:r>
            <w:r/>
          </w:p>
        </w:tc>
        <w:tc>
          <w:tcPr>
            <w:shd w:val="clear" w:color="auto" w:fill="auto"/>
            <w:tcBorders>
              <w:top w:val="single" w:color="000000" w:sz="4" w:space="0"/>
              <w:left w:val="single" w:color="000000" w:sz="4" w:space="0"/>
              <w:bottom w:val="single" w:color="000000" w:sz="4" w:space="0"/>
              <w:right w:val="single" w:color="000000" w:sz="4" w:space="0"/>
            </w:tcBorders>
            <w:tcW w:w="6463" w:type="dxa"/>
            <w:vAlign w:val="top"/>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Style w:val="1121"/>
                <w:rFonts w:hint="eastAsia" w:ascii="宋体" w:hAnsi="宋体" w:eastAsia="宋体" w:cs="宋体"/>
                <w:color w:val="auto"/>
                <w:highlight w:val="none"/>
                <w:lang w:val="en-US" w:eastAsia="zh-CN" w:bidi="ar"/>
              </w:rPr>
              <w:t xml:space="preserve">1.根据不同需求或地域环境，利用USB扩展更换频点（200个信道可选），同一场合可同时使用100套。具有最新“杂讯检测”静音控制功能，可完全消除杂讯干扰产生的杂音巨响。</w:t>
            </w:r>
            <w:r>
              <w:rPr>
                <w:rStyle w:val="1121"/>
                <w:rFonts w:hint="eastAsia" w:ascii="宋体" w:hAnsi="宋体" w:eastAsia="宋体" w:cs="宋体"/>
                <w:color w:val="auto"/>
                <w:highlight w:val="none"/>
                <w:lang w:val="en-US" w:eastAsia="zh-CN" w:bidi="ar"/>
              </w:rPr>
              <w:br/>
            </w:r>
            <w:r>
              <w:rPr>
                <w:rStyle w:val="1121"/>
                <w:rFonts w:hint="eastAsia" w:ascii="宋体" w:hAnsi="宋体" w:eastAsia="宋体" w:cs="宋体"/>
                <w:color w:val="auto"/>
                <w:highlight w:val="none"/>
                <w:lang w:val="en-US" w:eastAsia="zh-CN" w:bidi="ar"/>
              </w:rPr>
              <w:t xml:space="preserve">2.双通道接收器的音频输出具备双通道混合输出和单独平衡输出；微型中央芯片控制器通过天线选择和接收信号，能有效地切断无效信号和防止信号中断；话筒采用1.5v×2电池；</w:t>
            </w:r>
            <w:r>
              <w:rPr>
                <w:rStyle w:val="1121"/>
                <w:rFonts w:hint="eastAsia" w:ascii="宋体" w:hAnsi="宋体" w:eastAsia="宋体" w:cs="宋体"/>
                <w:color w:val="auto"/>
                <w:highlight w:val="none"/>
                <w:lang w:val="en-US" w:eastAsia="zh-CN" w:bidi="ar"/>
              </w:rPr>
              <w:br/>
            </w:r>
            <w:r>
              <w:rPr>
                <w:rStyle w:val="1121"/>
                <w:rFonts w:hint="eastAsia" w:ascii="宋体" w:hAnsi="宋体" w:eastAsia="宋体" w:cs="宋体"/>
                <w:color w:val="auto"/>
                <w:highlight w:val="none"/>
                <w:lang w:val="en-US" w:eastAsia="zh-CN" w:bidi="ar"/>
              </w:rPr>
              <w:t xml:space="preserve">3.技术参数：接收机：调制方式：FM；频道组数：双通道；载波频段：UHF 720～800MHz；灵敏度：在偏移度等于25KHz，输入6dB</w:t>
            </w:r>
            <w:r>
              <w:rPr>
                <w:rStyle w:val="1122"/>
                <w:rFonts w:hint="eastAsia" w:ascii="宋体" w:hAnsi="宋体" w:eastAsia="宋体" w:cs="宋体"/>
                <w:color w:val="auto"/>
                <w:highlight w:val="none"/>
                <w:lang w:val="en-US" w:eastAsia="zh-CN" w:bidi="ar"/>
              </w:rPr>
              <w:t xml:space="preserve">μ</w:t>
            </w:r>
            <w:r>
              <w:rPr>
                <w:rStyle w:val="1121"/>
                <w:rFonts w:hint="eastAsia" w:ascii="宋体" w:hAnsi="宋体" w:eastAsia="宋体" w:cs="宋体"/>
                <w:color w:val="auto"/>
                <w:highlight w:val="none"/>
                <w:lang w:val="en-US" w:eastAsia="zh-CN" w:bidi="ar"/>
              </w:rPr>
              <w:t xml:space="preserve">V时，S/N&gt;60dB ；频带宽度：15MHz；最大偏移度：±45KHz(具压缩扩展及自动音量限制电路) ；综合S/N比：&gt; 95 dB；综合T.H.D.：&lt;1.1% @ 1K；综合频率响应：50Hz-18KHz±3dB；最大输出电压： -20dBV/100</w:t>
            </w:r>
            <w:r>
              <w:rPr>
                <w:rStyle w:val="1122"/>
                <w:rFonts w:hint="eastAsia" w:ascii="宋体" w:hAnsi="宋体" w:eastAsia="宋体" w:cs="宋体"/>
                <w:color w:val="auto"/>
                <w:highlight w:val="none"/>
                <w:lang w:val="en-US" w:eastAsia="zh-CN" w:bidi="ar"/>
              </w:rPr>
              <w:t xml:space="preserve">Ω</w:t>
            </w:r>
            <w:r>
              <w:rPr>
                <w:rStyle w:val="1121"/>
                <w:rFonts w:hint="eastAsia" w:ascii="宋体" w:hAnsi="宋体" w:eastAsia="宋体" w:cs="宋体"/>
                <w:color w:val="auto"/>
                <w:highlight w:val="none"/>
                <w:lang w:val="en-US" w:eastAsia="zh-CN" w:bidi="ar"/>
              </w:rPr>
              <w:t xml:space="preserve">；输出插座：XLR平衡式及</w:t>
            </w:r>
            <w:r>
              <w:rPr>
                <w:rStyle w:val="1122"/>
                <w:rFonts w:hint="eastAsia" w:ascii="宋体" w:hAnsi="宋体" w:eastAsia="宋体" w:cs="宋体"/>
                <w:color w:val="auto"/>
                <w:highlight w:val="none"/>
                <w:lang w:val="en-US" w:eastAsia="zh-CN" w:bidi="ar"/>
              </w:rPr>
              <w:t xml:space="preserve">φ</w:t>
            </w:r>
            <w:r>
              <w:rPr>
                <w:rStyle w:val="1121"/>
                <w:rFonts w:hint="eastAsia" w:ascii="宋体" w:hAnsi="宋体" w:eastAsia="宋体" w:cs="宋体"/>
                <w:color w:val="auto"/>
                <w:highlight w:val="none"/>
                <w:lang w:val="en-US" w:eastAsia="zh-CN" w:bidi="ar"/>
              </w:rPr>
              <w:t xml:space="preserve">6.3不平衡式插座；电源供应：0.5A, 12～15VDC；发射话筒：载波频段：UHF 740～820MHz；载波功率：3 mW；谐波辐射：&lt;-63dBm ；最大偏移度：±45KHz；话筒电源：1.5v×2电池；电流消耗：&lt;28 mA 。</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r>
      <w:tr>
        <w:trPr>
          <w:jc w:val="center"/>
          <w:trHeight w:val="4490"/>
        </w:trPr>
        <w:tc>
          <w:tcPr>
            <w:shd w:val="clear" w:color="auto" w:fill="ffffff"/>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调音台</w:t>
            </w:r>
            <w:r/>
          </w:p>
        </w:tc>
        <w:tc>
          <w:tcPr>
            <w:shd w:val="clear" w:color="auto" w:fill="auto"/>
            <w:tcBorders>
              <w:top w:val="single" w:color="000000" w:sz="4" w:space="0"/>
              <w:left w:val="single" w:color="000000" w:sz="4" w:space="0"/>
              <w:bottom w:val="single" w:color="000000" w:sz="4" w:space="0"/>
              <w:right w:val="single" w:color="000000" w:sz="4" w:space="0"/>
            </w:tcBorders>
            <w:tcW w:w="6463" w:type="dxa"/>
            <w:vAlign w:val="top"/>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Style w:val="1121"/>
                <w:rFonts w:hint="eastAsia" w:ascii="宋体" w:hAnsi="宋体" w:eastAsia="宋体" w:cs="宋体"/>
                <w:color w:val="auto"/>
                <w:highlight w:val="none"/>
                <w:lang w:val="en-US" w:eastAsia="zh-CN" w:bidi="ar"/>
              </w:rPr>
              <w:t xml:space="preserve">1.双编组8通道调音台；</w:t>
            </w:r>
            <w:r>
              <w:rPr>
                <w:rStyle w:val="1121"/>
                <w:rFonts w:hint="eastAsia" w:ascii="宋体" w:hAnsi="宋体" w:eastAsia="宋体" w:cs="宋体"/>
                <w:color w:val="auto"/>
                <w:highlight w:val="none"/>
                <w:lang w:val="en-US" w:eastAsia="zh-CN" w:bidi="ar"/>
              </w:rPr>
              <w:br/>
            </w:r>
            <w:r>
              <w:rPr>
                <w:rStyle w:val="1121"/>
                <w:rFonts w:hint="eastAsia" w:ascii="宋体" w:hAnsi="宋体" w:eastAsia="宋体" w:cs="宋体"/>
                <w:color w:val="auto"/>
                <w:highlight w:val="none"/>
                <w:lang w:val="en-US" w:eastAsia="zh-CN" w:bidi="ar"/>
              </w:rPr>
              <w:t xml:space="preserve">2.平衡式话筒输入，话筒提供优质的48V幻像电源；</w:t>
            </w:r>
            <w:r>
              <w:rPr>
                <w:rStyle w:val="1121"/>
                <w:rFonts w:hint="eastAsia" w:ascii="宋体" w:hAnsi="宋体" w:eastAsia="宋体" w:cs="宋体"/>
                <w:color w:val="auto"/>
                <w:highlight w:val="none"/>
                <w:lang w:val="en-US" w:eastAsia="zh-CN" w:bidi="ar"/>
              </w:rPr>
              <w:br/>
            </w:r>
            <w:r>
              <w:rPr>
                <w:rStyle w:val="1121"/>
                <w:rFonts w:hint="eastAsia" w:ascii="宋体" w:hAnsi="宋体" w:eastAsia="宋体" w:cs="宋体"/>
                <w:color w:val="auto"/>
                <w:highlight w:val="none"/>
                <w:lang w:val="en-US" w:eastAsia="zh-CN" w:bidi="ar"/>
              </w:rPr>
              <w:t xml:space="preserve">3.配备USB播放接口；外接信号处理器；三段英国风格均衡；</w:t>
            </w:r>
            <w:r>
              <w:rPr>
                <w:rStyle w:val="1121"/>
                <w:rFonts w:hint="eastAsia" w:ascii="宋体" w:hAnsi="宋体" w:eastAsia="宋体" w:cs="宋体"/>
                <w:color w:val="auto"/>
                <w:highlight w:val="none"/>
                <w:lang w:val="en-US" w:eastAsia="zh-CN" w:bidi="ar"/>
              </w:rPr>
              <w:br/>
            </w:r>
            <w:r>
              <w:rPr>
                <w:rStyle w:val="1121"/>
                <w:rFonts w:hint="eastAsia" w:ascii="宋体" w:hAnsi="宋体" w:eastAsia="宋体" w:cs="宋体"/>
                <w:color w:val="auto"/>
                <w:highlight w:val="none"/>
                <w:lang w:val="en-US" w:eastAsia="zh-CN" w:bidi="ar"/>
              </w:rPr>
              <w:t xml:space="preserve">4.两组AUX辅助输出可选择为推子前（返送）推子后（外接处理器）；</w:t>
            </w:r>
            <w:r>
              <w:rPr>
                <w:rStyle w:val="1121"/>
                <w:rFonts w:hint="eastAsia" w:ascii="宋体" w:hAnsi="宋体" w:eastAsia="宋体" w:cs="宋体"/>
                <w:color w:val="auto"/>
                <w:highlight w:val="none"/>
                <w:lang w:val="en-US" w:eastAsia="zh-CN" w:bidi="ar"/>
              </w:rPr>
              <w:br/>
            </w:r>
            <w:r>
              <w:rPr>
                <w:rStyle w:val="1121"/>
                <w:rFonts w:hint="eastAsia" w:ascii="宋体" w:hAnsi="宋体" w:eastAsia="宋体" w:cs="宋体"/>
                <w:color w:val="auto"/>
                <w:highlight w:val="none"/>
                <w:lang w:val="en-US" w:eastAsia="zh-CN" w:bidi="ar"/>
              </w:rPr>
              <w:t xml:space="preserve">5.低噪音的前置放大，具有强大的抗干扰能力；</w:t>
            </w:r>
            <w:r>
              <w:rPr>
                <w:rStyle w:val="1121"/>
                <w:rFonts w:hint="eastAsia" w:ascii="宋体" w:hAnsi="宋体" w:eastAsia="宋体" w:cs="宋体"/>
                <w:color w:val="auto"/>
                <w:highlight w:val="none"/>
                <w:lang w:val="en-US" w:eastAsia="zh-CN" w:bidi="ar"/>
              </w:rPr>
              <w:br/>
            </w:r>
            <w:r>
              <w:rPr>
                <w:rStyle w:val="1121"/>
                <w:rFonts w:hint="eastAsia" w:ascii="宋体" w:hAnsi="宋体" w:eastAsia="宋体" w:cs="宋体"/>
                <w:color w:val="auto"/>
                <w:highlight w:val="none"/>
                <w:lang w:val="en-US" w:eastAsia="zh-CN" w:bidi="ar"/>
              </w:rPr>
              <w:t xml:space="preserve">6.采用16种数字显示延时数码效果器，使声音特别动听；</w:t>
            </w:r>
            <w:r>
              <w:rPr>
                <w:rStyle w:val="1121"/>
                <w:rFonts w:hint="eastAsia" w:ascii="宋体" w:hAnsi="宋体" w:eastAsia="宋体" w:cs="宋体"/>
                <w:color w:val="auto"/>
                <w:highlight w:val="none"/>
                <w:lang w:val="en-US" w:eastAsia="zh-CN" w:bidi="ar"/>
              </w:rPr>
              <w:br/>
            </w:r>
            <w:r>
              <w:rPr>
                <w:rStyle w:val="1121"/>
                <w:rFonts w:hint="eastAsia" w:ascii="宋体" w:hAnsi="宋体" w:eastAsia="宋体" w:cs="宋体"/>
                <w:color w:val="auto"/>
                <w:highlight w:val="none"/>
                <w:lang w:val="en-US" w:eastAsia="zh-CN" w:bidi="ar"/>
              </w:rPr>
              <w:t xml:space="preserve">7.输入：平衡式话筒×4，立体声×2；</w:t>
            </w:r>
            <w:r>
              <w:rPr>
                <w:rStyle w:val="1121"/>
                <w:rFonts w:hint="eastAsia" w:ascii="宋体" w:hAnsi="宋体" w:eastAsia="宋体" w:cs="宋体"/>
                <w:color w:val="auto"/>
                <w:highlight w:val="none"/>
                <w:lang w:val="en-US" w:eastAsia="zh-CN" w:bidi="ar"/>
              </w:rPr>
              <w:br/>
            </w:r>
            <w:r>
              <w:rPr>
                <w:rStyle w:val="1121"/>
                <w:rFonts w:hint="eastAsia" w:ascii="宋体" w:hAnsi="宋体" w:eastAsia="宋体" w:cs="宋体"/>
                <w:color w:val="auto"/>
                <w:highlight w:val="none"/>
                <w:lang w:val="en-US" w:eastAsia="zh-CN" w:bidi="ar"/>
              </w:rPr>
              <w:t xml:space="preserve">8.输出：L、R、MONO、AUX×2；                </w:t>
            </w:r>
            <w:r>
              <w:rPr>
                <w:rStyle w:val="1121"/>
                <w:rFonts w:hint="eastAsia" w:ascii="宋体" w:hAnsi="宋体" w:eastAsia="宋体" w:cs="宋体"/>
                <w:color w:val="auto"/>
                <w:highlight w:val="none"/>
                <w:lang w:val="en-US" w:eastAsia="zh-CN" w:bidi="ar"/>
              </w:rPr>
              <w:br/>
            </w:r>
            <w:r>
              <w:rPr>
                <w:rStyle w:val="1121"/>
                <w:rFonts w:hint="eastAsia" w:ascii="宋体" w:hAnsi="宋体" w:eastAsia="宋体" w:cs="宋体"/>
                <w:color w:val="auto"/>
                <w:highlight w:val="none"/>
                <w:lang w:val="en-US" w:eastAsia="zh-CN" w:bidi="ar"/>
              </w:rPr>
              <w:t xml:space="preserve">9.失真度：&lt;0.01%；</w:t>
            </w:r>
            <w:r>
              <w:rPr>
                <w:rStyle w:val="1121"/>
                <w:rFonts w:hint="eastAsia" w:ascii="宋体" w:hAnsi="宋体" w:eastAsia="宋体" w:cs="宋体"/>
                <w:color w:val="auto"/>
                <w:highlight w:val="none"/>
                <w:lang w:val="en-US" w:eastAsia="zh-CN" w:bidi="ar"/>
              </w:rPr>
              <w:br/>
            </w:r>
            <w:r>
              <w:rPr>
                <w:rStyle w:val="1121"/>
                <w:rFonts w:hint="eastAsia" w:ascii="宋体" w:hAnsi="宋体" w:eastAsia="宋体" w:cs="宋体"/>
                <w:color w:val="auto"/>
                <w:highlight w:val="none"/>
                <w:lang w:val="en-US" w:eastAsia="zh-CN" w:bidi="ar"/>
              </w:rPr>
              <w:t xml:space="preserve">10.频率响应：20Hz-20KHz ±1dB；</w:t>
            </w:r>
            <w:r>
              <w:rPr>
                <w:rStyle w:val="1121"/>
                <w:rFonts w:hint="eastAsia" w:ascii="宋体" w:hAnsi="宋体" w:eastAsia="宋体" w:cs="宋体"/>
                <w:color w:val="auto"/>
                <w:highlight w:val="none"/>
                <w:lang w:val="en-US" w:eastAsia="zh-CN" w:bidi="ar"/>
              </w:rPr>
              <w:br/>
            </w:r>
            <w:r>
              <w:rPr>
                <w:rStyle w:val="1121"/>
                <w:rFonts w:hint="eastAsia" w:ascii="宋体" w:hAnsi="宋体" w:eastAsia="宋体" w:cs="宋体"/>
                <w:color w:val="auto"/>
                <w:highlight w:val="none"/>
                <w:lang w:val="en-US" w:eastAsia="zh-CN" w:bidi="ar"/>
              </w:rPr>
              <w:t xml:space="preserve">11.整机信噪比：&lt;-90dB；</w:t>
            </w:r>
            <w:r>
              <w:rPr>
                <w:rStyle w:val="1121"/>
                <w:rFonts w:hint="eastAsia" w:ascii="宋体" w:hAnsi="宋体" w:eastAsia="宋体" w:cs="宋体"/>
                <w:color w:val="auto"/>
                <w:highlight w:val="none"/>
                <w:lang w:val="en-US" w:eastAsia="zh-CN" w:bidi="ar"/>
              </w:rPr>
              <w:br/>
            </w:r>
            <w:r>
              <w:rPr>
                <w:rStyle w:val="1121"/>
                <w:rFonts w:hint="eastAsia" w:ascii="宋体" w:hAnsi="宋体" w:eastAsia="宋体" w:cs="宋体"/>
                <w:color w:val="auto"/>
                <w:highlight w:val="none"/>
                <w:lang w:val="en-US" w:eastAsia="zh-CN" w:bidi="ar"/>
              </w:rPr>
              <w:t xml:space="preserve">12.阻抗匹配-话筒输入：1.6K</w:t>
            </w:r>
            <w:r>
              <w:rPr>
                <w:rStyle w:val="1123"/>
                <w:rFonts w:hint="eastAsia" w:ascii="宋体" w:hAnsi="宋体" w:eastAsia="宋体" w:cs="宋体"/>
                <w:color w:val="auto"/>
                <w:highlight w:val="none"/>
                <w:lang w:val="en-US" w:eastAsia="zh-CN" w:bidi="ar"/>
              </w:rPr>
              <w:t xml:space="preserve">Ω</w:t>
            </w:r>
            <w:r>
              <w:rPr>
                <w:rStyle w:val="1121"/>
                <w:rFonts w:hint="eastAsia" w:ascii="宋体" w:hAnsi="宋体" w:eastAsia="宋体" w:cs="宋体"/>
                <w:color w:val="auto"/>
                <w:highlight w:val="none"/>
                <w:lang w:val="en-US" w:eastAsia="zh-CN" w:bidi="ar"/>
              </w:rPr>
              <w:t xml:space="preserve">；其它输入：&gt;10K</w:t>
            </w:r>
            <w:r>
              <w:rPr>
                <w:rStyle w:val="1123"/>
                <w:rFonts w:hint="eastAsia" w:ascii="宋体" w:hAnsi="宋体" w:eastAsia="宋体" w:cs="宋体"/>
                <w:color w:val="auto"/>
                <w:highlight w:val="none"/>
                <w:lang w:val="en-US" w:eastAsia="zh-CN" w:bidi="ar"/>
              </w:rPr>
              <w:t xml:space="preserve">Ω</w:t>
            </w:r>
            <w:r>
              <w:rPr>
                <w:rStyle w:val="1121"/>
                <w:rFonts w:hint="eastAsia" w:ascii="宋体" w:hAnsi="宋体" w:eastAsia="宋体" w:cs="宋体"/>
                <w:color w:val="auto"/>
                <w:highlight w:val="none"/>
                <w:lang w:val="en-US" w:eastAsia="zh-CN" w:bidi="ar"/>
              </w:rPr>
              <w:t xml:space="preserve">；</w:t>
            </w:r>
            <w:r>
              <w:rPr>
                <w:rStyle w:val="1121"/>
                <w:rFonts w:hint="eastAsia" w:ascii="宋体" w:hAnsi="宋体" w:eastAsia="宋体" w:cs="宋体"/>
                <w:color w:val="auto"/>
                <w:highlight w:val="none"/>
                <w:lang w:val="en-US" w:eastAsia="zh-CN" w:bidi="ar"/>
              </w:rPr>
              <w:br/>
            </w:r>
            <w:r>
              <w:rPr>
                <w:rStyle w:val="1121"/>
                <w:rFonts w:hint="eastAsia" w:ascii="宋体" w:hAnsi="宋体" w:eastAsia="宋体" w:cs="宋体"/>
                <w:color w:val="auto"/>
                <w:highlight w:val="none"/>
                <w:lang w:val="en-US" w:eastAsia="zh-CN" w:bidi="ar"/>
              </w:rPr>
              <w:t xml:space="preserve">13.录音输出：1.1K</w:t>
            </w:r>
            <w:r>
              <w:rPr>
                <w:rStyle w:val="1123"/>
                <w:rFonts w:hint="eastAsia" w:ascii="宋体" w:hAnsi="宋体" w:eastAsia="宋体" w:cs="宋体"/>
                <w:color w:val="auto"/>
                <w:highlight w:val="none"/>
                <w:lang w:val="en-US" w:eastAsia="zh-CN" w:bidi="ar"/>
              </w:rPr>
              <w:t xml:space="preserve">Ω</w:t>
            </w:r>
            <w:r>
              <w:rPr>
                <w:rStyle w:val="1121"/>
                <w:rFonts w:hint="eastAsia" w:ascii="宋体" w:hAnsi="宋体" w:eastAsia="宋体" w:cs="宋体"/>
                <w:color w:val="auto"/>
                <w:highlight w:val="none"/>
                <w:lang w:val="en-US" w:eastAsia="zh-CN" w:bidi="ar"/>
              </w:rPr>
              <w:t xml:space="preserve">；其它输出：120</w:t>
            </w:r>
            <w:r>
              <w:rPr>
                <w:rStyle w:val="1123"/>
                <w:rFonts w:hint="eastAsia" w:ascii="宋体" w:hAnsi="宋体" w:eastAsia="宋体" w:cs="宋体"/>
                <w:color w:val="auto"/>
                <w:highlight w:val="none"/>
                <w:lang w:val="en-US" w:eastAsia="zh-CN" w:bidi="ar"/>
              </w:rPr>
              <w:t xml:space="preserve">Ω</w:t>
            </w:r>
            <w:r>
              <w:rPr>
                <w:rStyle w:val="1121"/>
                <w:rFonts w:hint="eastAsia" w:ascii="宋体" w:hAnsi="宋体" w:eastAsia="宋体" w:cs="宋体"/>
                <w:color w:val="auto"/>
                <w:highlight w:val="none"/>
                <w:lang w:val="en-US" w:eastAsia="zh-CN" w:bidi="ar"/>
              </w:rPr>
              <w:t xml:space="preserve">；</w:t>
            </w:r>
            <w:r>
              <w:rPr>
                <w:rStyle w:val="1121"/>
                <w:rFonts w:hint="eastAsia" w:ascii="宋体" w:hAnsi="宋体" w:eastAsia="宋体" w:cs="宋体"/>
                <w:color w:val="auto"/>
                <w:highlight w:val="none"/>
                <w:lang w:val="en-US" w:eastAsia="zh-CN" w:bidi="ar"/>
              </w:rPr>
              <w:br/>
            </w:r>
            <w:r>
              <w:rPr>
                <w:rStyle w:val="1121"/>
                <w:rFonts w:hint="eastAsia" w:ascii="宋体" w:hAnsi="宋体" w:eastAsia="宋体" w:cs="宋体"/>
                <w:color w:val="auto"/>
                <w:highlight w:val="none"/>
                <w:lang w:val="en-US" w:eastAsia="zh-CN" w:bidi="ar"/>
              </w:rPr>
              <w:t xml:space="preserve">14.均衡参数-高频:12KHz±15dB；中频：3.5KHz±15dB；低频：350Hz±15dB；</w:t>
            </w:r>
            <w:r>
              <w:rPr>
                <w:rStyle w:val="1121"/>
                <w:rFonts w:hint="eastAsia" w:ascii="宋体" w:hAnsi="宋体" w:eastAsia="宋体" w:cs="宋体"/>
                <w:color w:val="auto"/>
                <w:highlight w:val="none"/>
                <w:lang w:val="en-US" w:eastAsia="zh-CN" w:bidi="ar"/>
              </w:rPr>
              <w:br/>
            </w:r>
            <w:r>
              <w:rPr>
                <w:rStyle w:val="1121"/>
                <w:rFonts w:hint="eastAsia" w:ascii="宋体" w:hAnsi="宋体" w:eastAsia="宋体" w:cs="宋体"/>
                <w:color w:val="auto"/>
                <w:highlight w:val="none"/>
                <w:lang w:val="en-US" w:eastAsia="zh-CN" w:bidi="ar"/>
              </w:rPr>
              <w:t xml:space="preserve">15.输入灵敏度-话筒：-60dB；</w:t>
            </w:r>
            <w:r>
              <w:rPr>
                <w:rStyle w:val="1121"/>
                <w:rFonts w:hint="eastAsia" w:ascii="宋体" w:hAnsi="宋体" w:eastAsia="宋体" w:cs="宋体"/>
                <w:color w:val="auto"/>
                <w:highlight w:val="none"/>
                <w:lang w:val="en-US" w:eastAsia="zh-CN" w:bidi="ar"/>
              </w:rPr>
              <w:br/>
            </w:r>
            <w:r>
              <w:rPr>
                <w:rStyle w:val="1121"/>
                <w:rFonts w:hint="eastAsia" w:ascii="宋体" w:hAnsi="宋体" w:eastAsia="宋体" w:cs="宋体"/>
                <w:color w:val="auto"/>
                <w:highlight w:val="none"/>
                <w:lang w:val="en-US" w:eastAsia="zh-CN" w:bidi="ar"/>
              </w:rPr>
              <w:t xml:space="preserve">16.立体声输入：-40dB；</w:t>
            </w:r>
            <w:r>
              <w:rPr>
                <w:rStyle w:val="1121"/>
                <w:rFonts w:hint="eastAsia" w:ascii="宋体" w:hAnsi="宋体" w:eastAsia="宋体" w:cs="宋体"/>
                <w:color w:val="auto"/>
                <w:highlight w:val="none"/>
                <w:lang w:val="en-US" w:eastAsia="zh-CN" w:bidi="ar"/>
              </w:rPr>
              <w:br/>
            </w:r>
            <w:r>
              <w:rPr>
                <w:rStyle w:val="1121"/>
                <w:rFonts w:hint="eastAsia" w:ascii="宋体" w:hAnsi="宋体" w:eastAsia="宋体" w:cs="宋体"/>
                <w:color w:val="auto"/>
                <w:highlight w:val="none"/>
                <w:lang w:val="en-US" w:eastAsia="zh-CN" w:bidi="ar"/>
              </w:rPr>
              <w:t xml:space="preserve">17.辅助输入：-20dB；</w:t>
            </w:r>
            <w:r>
              <w:rPr>
                <w:rStyle w:val="1121"/>
                <w:rFonts w:hint="eastAsia" w:ascii="宋体" w:hAnsi="宋体" w:eastAsia="宋体" w:cs="宋体"/>
                <w:color w:val="auto"/>
                <w:highlight w:val="none"/>
                <w:lang w:val="en-US" w:eastAsia="zh-CN" w:bidi="ar"/>
              </w:rPr>
              <w:br/>
            </w:r>
            <w:r>
              <w:rPr>
                <w:rStyle w:val="1121"/>
                <w:rFonts w:hint="eastAsia" w:ascii="宋体" w:hAnsi="宋体" w:eastAsia="宋体" w:cs="宋体"/>
                <w:color w:val="auto"/>
                <w:highlight w:val="none"/>
                <w:lang w:val="en-US" w:eastAsia="zh-CN" w:bidi="ar"/>
              </w:rPr>
              <w:t xml:space="preserve">18.混音返回：-20dB；</w:t>
            </w:r>
            <w:r>
              <w:rPr>
                <w:rStyle w:val="1121"/>
                <w:rFonts w:hint="eastAsia" w:ascii="宋体" w:hAnsi="宋体" w:eastAsia="宋体" w:cs="宋体"/>
                <w:color w:val="auto"/>
                <w:highlight w:val="none"/>
                <w:lang w:val="en-US" w:eastAsia="zh-CN" w:bidi="ar"/>
              </w:rPr>
              <w:br/>
            </w:r>
            <w:r>
              <w:rPr>
                <w:rStyle w:val="1121"/>
                <w:rFonts w:hint="eastAsia" w:ascii="宋体" w:hAnsi="宋体" w:eastAsia="宋体" w:cs="宋体"/>
                <w:color w:val="auto"/>
                <w:highlight w:val="none"/>
                <w:lang w:val="en-US" w:eastAsia="zh-CN" w:bidi="ar"/>
              </w:rPr>
              <w:t xml:space="preserve">19.主输出电平：+4V max； 20.消耗功率：30W；</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r>
      <w:tr>
        <w:trPr>
          <w:jc w:val="center"/>
          <w:trHeight w:val="2868"/>
        </w:trPr>
        <w:tc>
          <w:tcPr>
            <w:shd w:val="clear" w:color="auto" w:fill="ffffff"/>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防静电地板</w:t>
            </w:r>
            <w:r/>
          </w:p>
        </w:tc>
        <w:tc>
          <w:tcPr>
            <w:shd w:val="clear" w:color="auto" w:fill="auto"/>
            <w:tcBorders>
              <w:top w:val="single" w:color="000000" w:sz="4" w:space="0"/>
              <w:left w:val="single" w:color="000000" w:sz="4" w:space="0"/>
              <w:bottom w:val="single" w:color="000000" w:sz="4" w:space="0"/>
              <w:right w:val="single" w:color="000000" w:sz="4" w:space="0"/>
            </w:tcBorders>
            <w:tcW w:w="6463" w:type="dxa"/>
            <w:vAlign w:val="top"/>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1、地板规格：600×600×35mm；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2、集中载荷：≥200kg；</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3、极载载荷：≥5880N；</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4、均布载荷：≥9720N/㎡；</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5、滚动载荷：滚动10000次，饶度≦2mm，永久变形≦5mm；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6、冲击载荷：实验区不能有任何塌陷，地板永久变形≦1.5mm；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7、表面平整度： ≦0.5mm；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8、厚极限偏差：±0.3mm；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9、相邻边垂直度：≦0.5mm；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10、防火等级：≧A1级（GB50222-95）；</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11、表面质量：涂塑层色泽均匀、无破损、不开胶、无明显色差、难燃、高耐磨、接缝美观、耐腐蚀，耐磨损，无明显可见的色差，起泡及疵点；支架要求可调并进行镀锌处理；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12、地板贴面：1.0cm瓷砖贴面。表面应不反光、不滑、耐腐蚀、不起尘、不吸尘、易于清扫。</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m²</w:t>
            </w:r>
            <w:r/>
          </w:p>
        </w:tc>
      </w:tr>
      <w:tr>
        <w:trPr>
          <w:jc w:val="center"/>
          <w:trHeight w:val="300"/>
        </w:trPr>
        <w:tc>
          <w:tcPr>
            <w:gridSpan w:val="5"/>
            <w:shd w:val="clear" w:color="auto" w:fill="auto"/>
            <w:tcBorders>
              <w:top w:val="single" w:color="000000" w:sz="4" w:space="0"/>
              <w:left w:val="single" w:color="000000" w:sz="4" w:space="0"/>
              <w:bottom w:val="single" w:color="000000" w:sz="4" w:space="0"/>
              <w:right w:val="none" w:color="000000" w:sz="4" w:space="0"/>
            </w:tcBorders>
            <w:tcW w:w="1008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机房</w:t>
            </w:r>
            <w:r/>
          </w:p>
        </w:tc>
      </w:tr>
      <w:tr>
        <w:trPr>
          <w:jc w:val="center"/>
          <w:trHeight w:val="1118"/>
        </w:trPr>
        <w:tc>
          <w:tcPr>
            <w:shd w:val="clear" w:color="auto" w:fill="ffffff"/>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云主机</w:t>
            </w:r>
            <w:r/>
          </w:p>
        </w:tc>
        <w:tc>
          <w:tcPr>
            <w:shd w:val="clear" w:color="auto" w:fill="auto"/>
            <w:tcBorders>
              <w:top w:val="single" w:color="000000" w:sz="4" w:space="0"/>
              <w:left w:val="single" w:color="000000" w:sz="4" w:space="0"/>
              <w:bottom w:val="single" w:color="000000" w:sz="4" w:space="0"/>
              <w:right w:val="single" w:color="000000" w:sz="4" w:space="0"/>
            </w:tcBorders>
            <w:tcW w:w="6463"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终端计算机,1*16GMEM,1*512GBSSD,1个DC电源接口,1个3.5mm耳机插孔,1个3.5mm麦克风插孔,1个10M/100M/1000M 自适应以太网口,4个USB3.0接口,4个USB2.0接口,1个VGA接口,1个HDMI接口; 可扩展固态硬盘插槽个数：1；可扩展机械硬盘插槽个数：1</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r>
      <w:tr>
        <w:trPr>
          <w:jc w:val="center"/>
          <w:trHeight w:val="90"/>
        </w:trPr>
        <w:tc>
          <w:tcPr>
            <w:shd w:val="clear" w:color="auto" w:fill="ffffff"/>
            <w:tcBorders>
              <w:top w:val="single" w:color="000000" w:sz="4" w:space="0"/>
              <w:left w:val="single" w:color="000000" w:sz="4" w:space="0"/>
              <w:bottom w:val="single" w:color="auto" w:sz="4" w:space="0"/>
              <w:right w:val="single" w:color="000000" w:sz="4" w:space="0"/>
            </w:tcBorders>
            <w:tcW w:w="81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auto" w:sz="4" w:space="0"/>
              <w:right w:val="single" w:color="000000" w:sz="4" w:space="0"/>
            </w:tcBorders>
            <w:tcW w:w="163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云主机授权软件</w:t>
            </w:r>
            <w:r/>
          </w:p>
        </w:tc>
        <w:tc>
          <w:tcPr>
            <w:shd w:val="clear" w:color="auto" w:fill="auto"/>
            <w:tcBorders>
              <w:top w:val="single" w:color="000000" w:sz="4" w:space="0"/>
              <w:left w:val="single" w:color="000000" w:sz="4" w:space="0"/>
              <w:bottom w:val="single" w:color="auto" w:sz="4" w:space="0"/>
              <w:right w:val="single" w:color="000000" w:sz="4" w:space="0"/>
            </w:tcBorders>
            <w:tcW w:w="6463"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单个授权软件能提供1颗物理CPU激活码，如需要激活N颗物理CPU，需要购买N个授权软件（仅支持用于教育行业，不可用于其他行业）</w:t>
            </w:r>
            <w:r/>
          </w:p>
        </w:tc>
        <w:tc>
          <w:tcPr>
            <w:shd w:val="clear" w:color="auto" w:fill="auto"/>
            <w:tcBorders>
              <w:top w:val="single" w:color="000000" w:sz="4" w:space="0"/>
              <w:left w:val="single" w:color="000000" w:sz="4" w:space="0"/>
              <w:bottom w:val="single" w:color="auto" w:sz="4" w:space="0"/>
              <w:right w:val="single" w:color="000000" w:sz="4" w:space="0"/>
            </w:tcBorders>
            <w:tcW w:w="62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auto" w:sz="4" w:space="0"/>
              <w:right w:val="single" w:color="000000" w:sz="4" w:space="0"/>
            </w:tcBorders>
            <w:tcW w:w="54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r>
      <w:tr>
        <w:trPr>
          <w:jc w:val="center"/>
          <w:trHeight w:val="1125"/>
        </w:trPr>
        <w:tc>
          <w:tcPr>
            <w:shd w:val="clear" w:color="auto" w:fill="ffffff"/>
            <w:tcBorders>
              <w:top w:val="single" w:color="auto" w:sz="4" w:space="0"/>
              <w:left w:val="single" w:color="auto" w:sz="4" w:space="0"/>
              <w:bottom w:val="single" w:color="auto" w:sz="4" w:space="0"/>
              <w:right w:val="single" w:color="auto" w:sz="4" w:space="0"/>
            </w:tcBorders>
            <w:tcW w:w="81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63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教师机</w:t>
            </w:r>
            <w:r/>
          </w:p>
        </w:tc>
        <w:tc>
          <w:tcPr>
            <w:shd w:val="clear" w:color="auto" w:fill="auto"/>
            <w:tcBorders>
              <w:top w:val="single" w:color="auto" w:sz="4" w:space="0"/>
              <w:left w:val="single" w:color="auto" w:sz="4" w:space="0"/>
              <w:bottom w:val="single" w:color="auto" w:sz="4" w:space="0"/>
              <w:right w:val="single" w:color="auto" w:sz="4" w:space="0"/>
            </w:tcBorders>
            <w:tcW w:w="6463" w:type="dxa"/>
            <w:vAlign w:val="top"/>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应用创新终端; 主频2.7GHz 8核; 1*8GB MEM, 1*256GB SSD; 1个DC电源接口,1个3.5mm耳机插孔,1个3.5mm麦克风插孔,1个10M/100M/1000M 自适应以太网口,4个USB3.0接口,4个USB2.0接口,1个VGA接口,1个HDMI接口; 可扩展固态硬盘插槽个数：1；可扩展机械硬盘插槽个数：1。</w:t>
            </w:r>
            <w:r/>
          </w:p>
        </w:tc>
        <w:tc>
          <w:tcPr>
            <w:shd w:val="clear" w:color="auto" w:fill="auto"/>
            <w:tcBorders>
              <w:top w:val="single" w:color="auto" w:sz="4" w:space="0"/>
              <w:left w:val="single" w:color="auto" w:sz="4" w:space="0"/>
              <w:bottom w:val="single" w:color="auto" w:sz="4" w:space="0"/>
              <w:right w:val="single" w:color="auto" w:sz="4" w:space="0"/>
            </w:tcBorders>
            <w:tcW w:w="62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54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r>
      <w:tr>
        <w:trPr>
          <w:jc w:val="center"/>
          <w:trHeight w:val="7113"/>
        </w:trPr>
        <w:tc>
          <w:tcPr>
            <w:shd w:val="clear" w:color="auto" w:fill="ffffff"/>
            <w:tcBorders>
              <w:top w:val="single" w:color="auto" w:sz="4" w:space="0"/>
              <w:left w:val="single" w:color="000000" w:sz="4" w:space="0"/>
              <w:bottom w:val="single" w:color="000000" w:sz="4" w:space="0"/>
              <w:right w:val="single" w:color="000000" w:sz="4" w:space="0"/>
            </w:tcBorders>
            <w:tcW w:w="81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auto" w:sz="4" w:space="0"/>
              <w:left w:val="single" w:color="000000" w:sz="4" w:space="0"/>
              <w:bottom w:val="single" w:color="000000" w:sz="4" w:space="0"/>
              <w:right w:val="single" w:color="000000" w:sz="4" w:space="0"/>
            </w:tcBorders>
            <w:tcW w:w="163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学生机</w:t>
            </w:r>
            <w:r/>
          </w:p>
        </w:tc>
        <w:tc>
          <w:tcPr>
            <w:shd w:val="clear" w:color="auto" w:fill="auto"/>
            <w:tcBorders>
              <w:top w:val="single" w:color="auto" w:sz="4" w:space="0"/>
              <w:left w:val="single" w:color="000000" w:sz="4" w:space="0"/>
              <w:bottom w:val="single" w:color="000000" w:sz="4" w:space="0"/>
              <w:right w:val="single" w:color="000000" w:sz="4" w:space="0"/>
            </w:tcBorders>
            <w:tcW w:w="6463" w:type="dxa"/>
            <w:vAlign w:val="top"/>
            <w:textDirection w:val="lrTb"/>
            <w:noWrap w:val="false"/>
          </w:tcPr>
          <w:p>
            <w:pPr>
              <w:ind w:firstLine="0"/>
              <w:jc w:val="left"/>
              <w:keepLines w:val="0"/>
              <w:keepNext w:val="0"/>
              <w:pageBreakBefore w:val="0"/>
              <w:spacing w:line="300" w:lineRule="exac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1、</w:t>
            </w:r>
            <w:r>
              <w:rPr>
                <w:rFonts w:hint="eastAsia" w:ascii="宋体" w:hAnsi="宋体" w:eastAsia="宋体" w:cs="宋体"/>
                <w:i w:val="0"/>
                <w:iCs w:val="0"/>
                <w:color w:val="auto"/>
                <w:sz w:val="18"/>
                <w:szCs w:val="18"/>
                <w:highlight w:val="none"/>
                <w:u w:val="none"/>
                <w:lang w:val="en-US" w:eastAsia="zh-CN" w:bidi="ar"/>
              </w:rPr>
              <w:t xml:space="preserve">整机和CPU核心部件必须为国产化品牌，以满足对国产化普及教学、办公等业务；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2、配置≥八核处理器（处理器主频≥2.7GHz）；内存容量≥8GB；本地存储≥256 GB NVME SSD ；内置DVD刻录光驱；</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3、为减少桌面空间的占用，台式机主体体积≤380mm（宽）×103mm（深）×338mm（高）；</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4、USB接口≥8个（其中USB 3.0接口≥4个），千兆网口≥1个，VGA接口≥1个，HDMI接口≥1个；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5、为确保原有数据有足够空间进行迁移，支持≥2个SATA硬盘接口进行扩展；支持内存扩展槽≥1个位；</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6、为保障所投设备质量优异，可靠性高，要求所投设备平均故障间隔时间（MTBF）≥300000小时；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b/>
                <w:bCs/>
                <w:i w:val="0"/>
                <w:iCs w:val="0"/>
                <w:color w:val="auto"/>
                <w:sz w:val="18"/>
                <w:szCs w:val="18"/>
                <w:highlight w:val="none"/>
                <w:u w:val="none"/>
                <w:lang w:val="en-US" w:eastAsia="zh-CN" w:bidi="ar"/>
              </w:rPr>
              <w:t xml:space="preserve">7、▲为防止人体触电，要求所投终端产品满足抗电强度要求：（1）电源初级与地之间施加AC1500V产品无击穿现象；（2）电源初级与次级之间施加AC3000V产品无击穿现象；（3）电源初级与机壳之间施加AC3000V产品无击穿现象</w:t>
            </w:r>
            <w:r>
              <w:rPr>
                <w:rFonts w:hint="eastAsia" w:ascii="宋体" w:hAnsi="宋体" w:cs="宋体"/>
                <w:b/>
                <w:bCs/>
                <w:i w:val="0"/>
                <w:iCs w:val="0"/>
                <w:color w:val="auto"/>
                <w:sz w:val="18"/>
                <w:szCs w:val="18"/>
                <w:highlight w:val="none"/>
                <w:u w:val="none"/>
                <w:lang w:val="en-US" w:eastAsia="zh-CN" w:bidi="ar"/>
              </w:rPr>
              <w:t xml:space="preserve">。</w:t>
            </w:r>
            <w:r>
              <w:rPr>
                <w:rFonts w:hint="eastAsia" w:ascii="宋体" w:hAnsi="宋体" w:eastAsia="宋体" w:cs="宋体"/>
                <w:b/>
                <w:bCs/>
                <w:i w:val="0"/>
                <w:iCs w:val="0"/>
                <w:color w:val="auto"/>
                <w:sz w:val="18"/>
                <w:szCs w:val="18"/>
                <w:highlight w:val="none"/>
                <w:u w:val="none"/>
                <w:lang w:val="en-US" w:eastAsia="zh-CN" w:bidi="ar"/>
              </w:rPr>
              <w:t xml:space="preserve">针对此功能需提供国家级权威测试机构出具的证书复印件并加盖投标人公章，证书需具备CNAS或CMA或CAL标志；</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w:t>
            </w:r>
            <w:r>
              <w:rPr>
                <w:rFonts w:hint="eastAsia" w:ascii="宋体" w:hAnsi="宋体" w:eastAsia="宋体" w:cs="宋体"/>
                <w:b w:val="0"/>
                <w:bCs w:val="0"/>
                <w:i w:val="0"/>
                <w:iCs w:val="0"/>
                <w:color w:val="auto"/>
                <w:sz w:val="18"/>
                <w:szCs w:val="18"/>
                <w:highlight w:val="none"/>
                <w:u w:val="none"/>
                <w:lang w:val="en-US" w:eastAsia="zh-CN" w:bidi="ar"/>
              </w:rPr>
              <w:t xml:space="preserve">、所投设备质量优异，可适应宽泛的环境温度变化范围，经过-10℃~50℃的环境考验，依旧可以正常使</w:t>
            </w:r>
            <w:r>
              <w:rPr>
                <w:rFonts w:hint="eastAsia" w:ascii="宋体" w:hAnsi="宋体" w:eastAsia="宋体" w:cs="宋体"/>
                <w:b w:val="0"/>
                <w:bCs w:val="0"/>
                <w:i w:val="0"/>
                <w:iCs w:val="0"/>
                <w:color w:val="auto"/>
                <w:sz w:val="18"/>
                <w:szCs w:val="18"/>
                <w:highlight w:val="none"/>
                <w:u w:val="none"/>
                <w:lang w:val="en-US" w:eastAsia="zh-CN" w:bidi="ar"/>
              </w:rPr>
              <w:t xml:space="preserve">用，</w:t>
            </w:r>
            <w:r>
              <w:rPr>
                <w:rFonts w:hint="eastAsia" w:ascii="宋体" w:hAnsi="宋体" w:eastAsia="宋体" w:cs="宋体"/>
                <w:b w:val="0"/>
                <w:bCs w:val="0"/>
                <w:i w:val="0"/>
                <w:iCs w:val="0"/>
                <w:color w:val="auto"/>
                <w:sz w:val="18"/>
                <w:szCs w:val="18"/>
                <w:highlight w:val="none"/>
                <w:u w:val="none"/>
                <w:lang w:val="en-US" w:eastAsia="zh-CN" w:bidi="ar"/>
              </w:rPr>
              <w:t xml:space="preserve">针对以上要求需提供国家级权威测试机构出具的证书复印件并加盖投标人公章，证书需具备CNAS或CMA或CAL标志；</w:t>
            </w:r>
            <w:r>
              <w:rPr>
                <w:rFonts w:hint="eastAsia" w:ascii="宋体" w:hAnsi="宋体" w:eastAsia="宋体" w:cs="宋体"/>
                <w:b/>
                <w:bCs/>
                <w:i w:val="0"/>
                <w:iCs w:val="0"/>
                <w:color w:val="auto"/>
                <w:sz w:val="18"/>
                <w:szCs w:val="18"/>
                <w:highlight w:val="none"/>
                <w:u w:val="none"/>
                <w:lang w:val="en-US" w:eastAsia="zh-CN" w:bidi="ar"/>
              </w:rPr>
              <w:br/>
            </w:r>
            <w:r>
              <w:rPr>
                <w:rFonts w:hint="eastAsia" w:ascii="宋体" w:hAnsi="宋体" w:eastAsia="宋体" w:cs="宋体"/>
                <w:b w:val="0"/>
                <w:bCs w:val="0"/>
                <w:i w:val="0"/>
                <w:iCs w:val="0"/>
                <w:color w:val="auto"/>
                <w:sz w:val="18"/>
                <w:szCs w:val="18"/>
                <w:highlight w:val="none"/>
                <w:u w:val="none"/>
                <w:lang w:val="en-US" w:eastAsia="zh-CN" w:bidi="ar"/>
              </w:rPr>
              <w:t xml:space="preserve">9、为避免设备运行时产生噪声污染，干扰办公、学习人员，要求设备满载噪声指标≤32.06dB，</w:t>
            </w:r>
            <w:r>
              <w:rPr>
                <w:rFonts w:hint="eastAsia" w:ascii="宋体" w:hAnsi="宋体" w:eastAsia="宋体" w:cs="宋体"/>
                <w:b w:val="0"/>
                <w:bCs w:val="0"/>
                <w:i w:val="0"/>
                <w:iCs w:val="0"/>
                <w:color w:val="auto"/>
                <w:sz w:val="18"/>
                <w:szCs w:val="18"/>
                <w:highlight w:val="none"/>
                <w:u w:val="none"/>
                <w:lang w:val="en-US" w:eastAsia="zh-CN" w:bidi="ar"/>
              </w:rPr>
              <w:br/>
            </w:r>
            <w:r>
              <w:rPr>
                <w:rFonts w:hint="eastAsia" w:ascii="宋体" w:hAnsi="宋体" w:eastAsia="宋体" w:cs="宋体"/>
                <w:b w:val="0"/>
                <w:bCs w:val="0"/>
                <w:i w:val="0"/>
                <w:iCs w:val="0"/>
                <w:color w:val="auto"/>
                <w:sz w:val="18"/>
                <w:szCs w:val="18"/>
                <w:highlight w:val="none"/>
                <w:u w:val="none"/>
                <w:lang w:val="en-US" w:eastAsia="zh-CN" w:bidi="ar"/>
              </w:rPr>
              <w:t xml:space="preserve">10</w:t>
            </w:r>
            <w:r>
              <w:rPr>
                <w:rFonts w:hint="eastAsia" w:ascii="宋体" w:hAnsi="宋体" w:cs="宋体"/>
                <w:b w:val="0"/>
                <w:bCs w:val="0"/>
                <w:i w:val="0"/>
                <w:iCs w:val="0"/>
                <w:color w:val="auto"/>
                <w:sz w:val="18"/>
                <w:szCs w:val="18"/>
                <w:highlight w:val="none"/>
                <w:u w:val="none"/>
                <w:lang w:val="en-US" w:eastAsia="zh-CN" w:bidi="ar"/>
              </w:rPr>
              <w:t xml:space="preserve">、</w:t>
            </w:r>
            <w:r>
              <w:rPr>
                <w:rFonts w:hint="eastAsia" w:ascii="宋体" w:hAnsi="宋体" w:eastAsia="宋体" w:cs="宋体"/>
                <w:b w:val="0"/>
                <w:bCs w:val="0"/>
                <w:i w:val="0"/>
                <w:iCs w:val="0"/>
                <w:color w:val="auto"/>
                <w:sz w:val="18"/>
                <w:szCs w:val="18"/>
                <w:highlight w:val="none"/>
                <w:u w:val="none"/>
                <w:lang w:val="en-US" w:eastAsia="zh-CN" w:bidi="ar"/>
              </w:rPr>
              <w:t xml:space="preserve">为保证重要镜像的安全性，虚拟化终端授权需支持教学镜像对学生隐藏或可见，要求</w:t>
            </w:r>
            <w:r>
              <w:rPr>
                <w:rFonts w:hint="eastAsia" w:ascii="宋体" w:hAnsi="宋体" w:eastAsia="宋体" w:cs="宋体"/>
                <w:b w:val="0"/>
                <w:bCs w:val="0"/>
                <w:i w:val="0"/>
                <w:iCs w:val="0"/>
                <w:color w:val="auto"/>
                <w:sz w:val="18"/>
                <w:szCs w:val="18"/>
                <w:highlight w:val="none"/>
                <w:u w:val="none"/>
                <w:lang w:val="en-US" w:eastAsia="zh-CN" w:bidi="ar"/>
              </w:rPr>
              <w:t xml:space="preserve">提供实际界面截图以及具有CNAS或CMA或CAL</w:t>
            </w:r>
            <w:r>
              <w:rPr>
                <w:rFonts w:hint="eastAsia" w:ascii="宋体" w:hAnsi="宋体" w:cs="宋体"/>
                <w:b w:val="0"/>
                <w:bCs w:val="0"/>
                <w:i w:val="0"/>
                <w:iCs w:val="0"/>
                <w:color w:val="auto"/>
                <w:sz w:val="18"/>
                <w:szCs w:val="18"/>
                <w:highlight w:val="none"/>
                <w:u w:val="none"/>
                <w:lang w:val="en-US" w:eastAsia="zh-CN" w:bidi="ar"/>
              </w:rPr>
              <w:t xml:space="preserve">认证</w:t>
            </w:r>
            <w:r>
              <w:rPr>
                <w:rFonts w:hint="eastAsia" w:ascii="宋体" w:hAnsi="宋体" w:eastAsia="宋体" w:cs="宋体"/>
                <w:b w:val="0"/>
                <w:bCs w:val="0"/>
                <w:i w:val="0"/>
                <w:iCs w:val="0"/>
                <w:color w:val="auto"/>
                <w:sz w:val="18"/>
                <w:szCs w:val="18"/>
                <w:highlight w:val="none"/>
                <w:u w:val="none"/>
                <w:lang w:val="en-US" w:eastAsia="zh-CN" w:bidi="ar"/>
              </w:rPr>
              <w:t xml:space="preserve">标志的第三方</w:t>
            </w:r>
            <w:r>
              <w:rPr>
                <w:rFonts w:hint="eastAsia" w:ascii="宋体" w:hAnsi="宋体" w:cs="宋体"/>
                <w:b w:val="0"/>
                <w:bCs w:val="0"/>
                <w:i w:val="0"/>
                <w:iCs w:val="0"/>
                <w:color w:val="auto"/>
                <w:sz w:val="18"/>
                <w:szCs w:val="18"/>
                <w:highlight w:val="none"/>
                <w:u w:val="none"/>
                <w:lang w:val="en-US" w:eastAsia="zh-CN" w:bidi="ar"/>
              </w:rPr>
              <w:t xml:space="preserve">检测机构</w:t>
            </w:r>
            <w:r>
              <w:rPr>
                <w:rFonts w:hint="eastAsia" w:ascii="宋体" w:hAnsi="宋体" w:eastAsia="宋体" w:cs="宋体"/>
                <w:b w:val="0"/>
                <w:bCs w:val="0"/>
                <w:i w:val="0"/>
                <w:iCs w:val="0"/>
                <w:color w:val="auto"/>
                <w:sz w:val="18"/>
                <w:szCs w:val="18"/>
                <w:highlight w:val="none"/>
                <w:u w:val="none"/>
                <w:lang w:val="en-US" w:eastAsia="zh-CN" w:bidi="ar"/>
              </w:rPr>
              <w:t xml:space="preserve">检验报告证明并加盖投标人公章</w:t>
            </w:r>
            <w:r>
              <w:rPr>
                <w:rFonts w:hint="eastAsia" w:ascii="宋体" w:hAnsi="宋体" w:eastAsia="宋体" w:cs="宋体"/>
                <w:b w:val="0"/>
                <w:bCs w:val="0"/>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11、21.5英寸显示器，VA屏幕，原生8bit色深，含VGA、HDMI接口，附带HDMI线；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b/>
                <w:bCs/>
                <w:i w:val="0"/>
                <w:iCs w:val="0"/>
                <w:color w:val="auto"/>
                <w:sz w:val="18"/>
                <w:szCs w:val="18"/>
                <w:highlight w:val="none"/>
                <w:u w:val="none"/>
                <w:lang w:val="en-US" w:eastAsia="zh-CN" w:bidi="ar"/>
              </w:rPr>
              <w:t xml:space="preserve">12、▲为了便于统一维护管理，要求显示器与</w:t>
            </w:r>
            <w:r>
              <w:rPr>
                <w:rFonts w:hint="eastAsia" w:ascii="宋体" w:hAnsi="宋体" w:cs="宋体"/>
                <w:b/>
                <w:bCs/>
                <w:i w:val="0"/>
                <w:iCs w:val="0"/>
                <w:color w:val="auto"/>
                <w:sz w:val="18"/>
                <w:szCs w:val="18"/>
                <w:highlight w:val="none"/>
                <w:u w:val="none"/>
                <w:lang w:val="en-US" w:eastAsia="zh-CN" w:bidi="ar"/>
              </w:rPr>
              <w:t xml:space="preserve">教学机</w:t>
            </w:r>
            <w:r>
              <w:rPr>
                <w:rFonts w:hint="eastAsia" w:ascii="宋体" w:hAnsi="宋体" w:eastAsia="宋体" w:cs="宋体"/>
                <w:b/>
                <w:bCs/>
                <w:i w:val="0"/>
                <w:iCs w:val="0"/>
                <w:color w:val="auto"/>
                <w:sz w:val="18"/>
                <w:szCs w:val="18"/>
                <w:highlight w:val="none"/>
                <w:u w:val="none"/>
                <w:lang w:val="en-US" w:eastAsia="zh-CN" w:bidi="ar"/>
              </w:rPr>
              <w:t xml:space="preserve">统一品牌，</w:t>
            </w:r>
            <w:r>
              <w:rPr>
                <w:rFonts w:hint="eastAsia" w:ascii="宋体" w:hAnsi="宋体" w:eastAsia="宋体" w:cs="宋体"/>
                <w:b/>
                <w:bCs/>
                <w:i w:val="0"/>
                <w:iCs w:val="0"/>
                <w:color w:val="auto"/>
                <w:sz w:val="18"/>
                <w:szCs w:val="18"/>
                <w:highlight w:val="none"/>
                <w:u w:val="none"/>
                <w:lang w:val="en-US" w:eastAsia="zh-CN" w:bidi="ar"/>
              </w:rPr>
              <w:t xml:space="preserve">提供官网截图和链接证明并加盖投标人公章。</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13、内含有线键盘、鼠标、鼠标垫</w:t>
            </w:r>
            <w:r/>
          </w:p>
        </w:tc>
        <w:tc>
          <w:tcPr>
            <w:shd w:val="clear" w:color="auto" w:fill="auto"/>
            <w:tcBorders>
              <w:top w:val="single" w:color="auto" w:sz="4" w:space="0"/>
              <w:left w:val="single" w:color="000000" w:sz="4" w:space="0"/>
              <w:bottom w:val="single" w:color="000000" w:sz="4" w:space="0"/>
              <w:right w:val="single" w:color="000000" w:sz="4" w:space="0"/>
            </w:tcBorders>
            <w:tcW w:w="62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w:t>
            </w:r>
            <w:r/>
          </w:p>
        </w:tc>
        <w:tc>
          <w:tcPr>
            <w:shd w:val="clear" w:color="auto" w:fill="auto"/>
            <w:tcBorders>
              <w:top w:val="single" w:color="auto" w:sz="4" w:space="0"/>
              <w:left w:val="single" w:color="000000" w:sz="4" w:space="0"/>
              <w:bottom w:val="single" w:color="000000" w:sz="4" w:space="0"/>
              <w:right w:val="single" w:color="000000" w:sz="4" w:space="0"/>
            </w:tcBorders>
            <w:tcW w:w="54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r>
      <w:tr>
        <w:trPr>
          <w:jc w:val="center"/>
          <w:trHeight w:val="915"/>
        </w:trPr>
        <w:tc>
          <w:tcPr>
            <w:shd w:val="clear" w:color="auto" w:fill="ffffff"/>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教学管理软件</w:t>
            </w:r>
            <w:r/>
          </w:p>
        </w:tc>
        <w:tc>
          <w:tcPr>
            <w:shd w:val="clear" w:color="auto" w:fill="auto"/>
            <w:tcBorders>
              <w:top w:val="single" w:color="000000" w:sz="4" w:space="0"/>
              <w:left w:val="single" w:color="000000" w:sz="4" w:space="0"/>
              <w:bottom w:val="single" w:color="000000" w:sz="4" w:space="0"/>
              <w:right w:val="single" w:color="000000" w:sz="4" w:space="0"/>
            </w:tcBorders>
            <w:tcW w:w="6463" w:type="dxa"/>
            <w:vAlign w:val="top"/>
            <w:textDirection w:val="lrTb"/>
            <w:noWrap w:val="false"/>
          </w:tcPr>
          <w:p>
            <w:pPr>
              <w:ind w:firstLine="0"/>
              <w:jc w:val="left"/>
              <w:keepLines w:val="0"/>
              <w:keepNext w:val="0"/>
              <w:pageBreakBefore w:val="0"/>
              <w:spacing w:line="440" w:lineRule="exac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云课堂教学管理软件，全新架构设计，包含作业空间授权，支持屏幕广播、学生监控、文件分发等教学常用功能，支持在线升级和教学应用扩展。内含软件本体和70个云课堂终端授权。</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r>
      <w:tr>
        <w:trPr>
          <w:jc w:val="center"/>
          <w:trHeight w:val="390"/>
        </w:trPr>
        <w:tc>
          <w:tcPr>
            <w:shd w:val="clear" w:color="auto" w:fill="ffffff"/>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互联光模块</w:t>
            </w:r>
            <w:r/>
          </w:p>
        </w:tc>
        <w:tc>
          <w:tcPr>
            <w:shd w:val="clear" w:color="auto" w:fill="auto"/>
            <w:tcBorders>
              <w:top w:val="single" w:color="000000" w:sz="4" w:space="0"/>
              <w:left w:val="single" w:color="000000" w:sz="4" w:space="0"/>
              <w:bottom w:val="single" w:color="000000" w:sz="4" w:space="0"/>
              <w:right w:val="single" w:color="000000" w:sz="4" w:space="0"/>
            </w:tcBorders>
            <w:tcW w:w="6463"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1000BASE-LX mini GBIC转换模块（1310nm），10km</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r>
      <w:tr>
        <w:trPr>
          <w:jc w:val="center"/>
          <w:trHeight w:val="355"/>
        </w:trPr>
        <w:tc>
          <w:tcPr>
            <w:shd w:val="clear" w:color="auto" w:fill="ffffff"/>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48口交换机</w:t>
            </w:r>
            <w:r/>
          </w:p>
        </w:tc>
        <w:tc>
          <w:tcPr>
            <w:shd w:val="clear" w:color="auto" w:fill="auto"/>
            <w:tcBorders>
              <w:top w:val="single" w:color="000000" w:sz="4" w:space="0"/>
              <w:left w:val="single" w:color="000000" w:sz="4" w:space="0"/>
              <w:bottom w:val="single" w:color="000000" w:sz="4" w:space="0"/>
              <w:right w:val="single" w:color="000000" w:sz="4" w:space="0"/>
            </w:tcBorders>
            <w:tcW w:w="6463"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48个10/100/1000M自适应端口，4个SFP光口，固化交流电源和风扇</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r>
      <w:tr>
        <w:trPr>
          <w:jc w:val="center"/>
          <w:trHeight w:val="320"/>
        </w:trPr>
        <w:tc>
          <w:tcPr>
            <w:shd w:val="clear" w:color="auto" w:fill="ffffff"/>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24口交换机</w:t>
            </w:r>
            <w:r/>
          </w:p>
        </w:tc>
        <w:tc>
          <w:tcPr>
            <w:shd w:val="clear" w:color="auto" w:fill="auto"/>
            <w:tcBorders>
              <w:top w:val="single" w:color="000000" w:sz="4" w:space="0"/>
              <w:left w:val="single" w:color="000000" w:sz="4" w:space="0"/>
              <w:bottom w:val="single" w:color="000000" w:sz="4" w:space="0"/>
              <w:right w:val="single" w:color="000000" w:sz="4" w:space="0"/>
            </w:tcBorders>
            <w:tcW w:w="6463"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10个10/100/1000M自适应电口，2个1G/2.5G SFP光口，无风扇</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r>
      <w:tr>
        <w:trPr>
          <w:jc w:val="center"/>
          <w:trHeight w:val="460"/>
        </w:trPr>
        <w:tc>
          <w:tcPr>
            <w:shd w:val="clear" w:color="auto" w:fill="ffffff"/>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键盘鼠标</w:t>
            </w:r>
            <w:r/>
          </w:p>
        </w:tc>
        <w:tc>
          <w:tcPr>
            <w:shd w:val="clear" w:color="auto" w:fill="auto"/>
            <w:tcBorders>
              <w:top w:val="single" w:color="000000" w:sz="4" w:space="0"/>
              <w:left w:val="single" w:color="000000" w:sz="4" w:space="0"/>
              <w:bottom w:val="single" w:color="000000" w:sz="4" w:space="0"/>
              <w:right w:val="single" w:color="000000" w:sz="4" w:space="0"/>
            </w:tcBorders>
            <w:tcW w:w="6463"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云桌面有线键鼠套装</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r>
      <w:tr>
        <w:trPr>
          <w:jc w:val="center"/>
          <w:trHeight w:val="1088"/>
        </w:trPr>
        <w:tc>
          <w:tcPr>
            <w:shd w:val="clear" w:color="auto" w:fill="ffffff"/>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静电地板</w:t>
            </w:r>
            <w:r/>
          </w:p>
        </w:tc>
        <w:tc>
          <w:tcPr>
            <w:shd w:val="clear" w:color="auto" w:fill="auto"/>
            <w:tcBorders>
              <w:top w:val="single" w:color="000000" w:sz="4" w:space="0"/>
              <w:left w:val="single" w:color="000000" w:sz="4" w:space="0"/>
              <w:bottom w:val="single" w:color="000000" w:sz="4" w:space="0"/>
              <w:right w:val="single" w:color="000000" w:sz="4" w:space="0"/>
            </w:tcBorders>
            <w:tcW w:w="6463"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1.名称:抗静电地板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2.尺寸:600*600*35mm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3.集中载荷：≥360公斤</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4.极限集中载荷：≥1090公斤</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平方</w:t>
            </w:r>
            <w:r/>
          </w:p>
        </w:tc>
      </w:tr>
      <w:tr>
        <w:trPr>
          <w:jc w:val="center"/>
          <w:trHeight w:val="1575"/>
        </w:trPr>
        <w:tc>
          <w:tcPr>
            <w:shd w:val="clear" w:color="auto" w:fill="ffffff"/>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课桌椅</w:t>
            </w:r>
            <w:r/>
          </w:p>
        </w:tc>
        <w:tc>
          <w:tcPr>
            <w:shd w:val="clear" w:color="auto" w:fill="auto"/>
            <w:tcBorders>
              <w:top w:val="single" w:color="000000" w:sz="4" w:space="0"/>
              <w:left w:val="single" w:color="000000" w:sz="4" w:space="0"/>
              <w:bottom w:val="single" w:color="000000" w:sz="4" w:space="0"/>
              <w:right w:val="single" w:color="000000" w:sz="4" w:space="0"/>
            </w:tcBorders>
            <w:tcW w:w="6463" w:type="dxa"/>
            <w:vAlign w:val="center"/>
            <w:textDirection w:val="lrTb"/>
            <w:noWrap w:val="false"/>
          </w:tcPr>
          <w:p>
            <w:pPr>
              <w:ind w:firstLine="0"/>
              <w:jc w:val="left"/>
              <w:keepLines w:val="0"/>
              <w:keepNext w:val="0"/>
              <w:pageBreakBefore w:val="0"/>
              <w:spacing w:line="300" w:lineRule="exact"/>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双人电脑桌，钢木结构：</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1、尺寸：≥1200*600*750mm；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2、桌脚≥40*40mm方管，壁厚≥1.0mm；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3、桌面下拉拉杆≥25mm*40mm，壁厚≥1.2mm；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4、三面围网片，数控冲床冲孔，钢板壁厚≥0.6mm，钢材表面经过环保喷砂除锈，静电喷涂等工艺，桌面覆面刨花板厚度≥16mm，同色≥1.2mmPVC封边</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r>
      <w:tr>
        <w:trPr>
          <w:jc w:val="center"/>
          <w:trHeight w:val="270"/>
        </w:trPr>
        <w:tc>
          <w:tcPr>
            <w:shd w:val="clear" w:color="auto" w:fill="ffffff"/>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机架式LC光纤配线架</w:t>
            </w:r>
            <w:r/>
          </w:p>
        </w:tc>
        <w:tc>
          <w:tcPr>
            <w:shd w:val="clear" w:color="auto" w:fill="auto"/>
            <w:tcBorders>
              <w:top w:val="single" w:color="000000" w:sz="4" w:space="0"/>
              <w:left w:val="single" w:color="000000" w:sz="4" w:space="0"/>
              <w:bottom w:val="single" w:color="000000" w:sz="4" w:space="0"/>
              <w:right w:val="single" w:color="000000" w:sz="4" w:space="0"/>
            </w:tcBorders>
            <w:tcW w:w="6463"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机架式标准12口LC光纤配线架（含耦合器）</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r>
      <w:tr>
        <w:trPr>
          <w:jc w:val="center"/>
          <w:trHeight w:val="350"/>
        </w:trPr>
        <w:tc>
          <w:tcPr>
            <w:shd w:val="clear" w:color="auto" w:fill="ffffff"/>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超六类网线</w:t>
            </w:r>
            <w:r/>
          </w:p>
        </w:tc>
        <w:tc>
          <w:tcPr>
            <w:shd w:val="clear" w:color="auto" w:fill="auto"/>
            <w:tcBorders>
              <w:top w:val="single" w:color="000000" w:sz="4" w:space="0"/>
              <w:left w:val="single" w:color="000000" w:sz="4" w:space="0"/>
              <w:bottom w:val="single" w:color="000000" w:sz="4" w:space="0"/>
              <w:right w:val="single" w:color="000000" w:sz="4" w:space="0"/>
            </w:tcBorders>
            <w:tcW w:w="6463"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超六类</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箱</w:t>
            </w:r>
            <w:r/>
          </w:p>
        </w:tc>
      </w:tr>
      <w:tr>
        <w:trPr>
          <w:jc w:val="center"/>
          <w:trHeight w:val="455"/>
        </w:trPr>
        <w:tc>
          <w:tcPr>
            <w:shd w:val="clear" w:color="auto" w:fill="ffffff"/>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网络超六类跳线</w:t>
            </w:r>
            <w:r/>
          </w:p>
        </w:tc>
        <w:tc>
          <w:tcPr>
            <w:shd w:val="clear" w:color="auto" w:fill="auto"/>
            <w:tcBorders>
              <w:top w:val="single" w:color="000000" w:sz="4" w:space="0"/>
              <w:left w:val="single" w:color="000000" w:sz="4" w:space="0"/>
              <w:bottom w:val="single" w:color="000000" w:sz="4" w:space="0"/>
              <w:right w:val="single" w:color="000000" w:sz="4" w:space="0"/>
            </w:tcBorders>
            <w:tcW w:w="6463"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CAT6类高速千兆网络连接线</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根</w:t>
            </w:r>
            <w:r/>
          </w:p>
        </w:tc>
      </w:tr>
      <w:tr>
        <w:trPr>
          <w:jc w:val="center"/>
          <w:trHeight w:val="300"/>
        </w:trPr>
        <w:tc>
          <w:tcPr>
            <w:gridSpan w:val="5"/>
            <w:shd w:val="clear" w:color="auto" w:fill="auto"/>
            <w:tcBorders>
              <w:top w:val="single" w:color="000000" w:sz="4" w:space="0"/>
              <w:left w:val="single" w:color="000000" w:sz="4" w:space="0"/>
              <w:bottom w:val="single" w:color="000000" w:sz="4" w:space="0"/>
              <w:right w:val="single" w:color="000000" w:sz="4" w:space="0"/>
            </w:tcBorders>
            <w:tcW w:w="1008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监控增补</w:t>
            </w:r>
            <w:r/>
          </w:p>
        </w:tc>
      </w:tr>
      <w:tr>
        <w:trPr>
          <w:jc w:val="center"/>
          <w:trHeight w:val="2679"/>
        </w:trPr>
        <w:tc>
          <w:tcPr>
            <w:shd w:val="clear" w:color="auto" w:fill="ffffff"/>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高清400万枪型摄像机</w:t>
            </w:r>
            <w:r/>
          </w:p>
        </w:tc>
        <w:tc>
          <w:tcPr>
            <w:shd w:val="clear" w:color="auto" w:fill="auto"/>
            <w:tcBorders>
              <w:top w:val="single" w:color="000000" w:sz="4" w:space="0"/>
              <w:left w:val="single" w:color="000000" w:sz="4" w:space="0"/>
              <w:bottom w:val="single" w:color="000000" w:sz="4" w:space="0"/>
              <w:right w:val="single" w:color="000000" w:sz="4" w:space="0"/>
            </w:tcBorders>
            <w:tcW w:w="6463"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采用高性能≥400万像素CMOS图像传感器，低照度效果好，图像清晰度高</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最大可输出≥400万(2560×1440)@25fps</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支持H.265编码，压缩比高，超低码流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内置高效红外补光灯，最大红外监控距离≥50米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支持ROI，SMART H.264+/H.265+，灵活编码，适用不同带宽和存储环境</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支持数字宽动态，3D降噪，强光抑制，背光补偿，数字水印，适用不同监控环境</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支持多种异常检测：动态检测，视频遮挡，网络断开，IP冲突，音频异常侦测，非法访问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内置≥1个MIC</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支持DC12V/POE供电方式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支持IP67防护等级</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r>
      <w:tr>
        <w:trPr>
          <w:jc w:val="center"/>
          <w:trHeight w:val="2925"/>
        </w:trPr>
        <w:tc>
          <w:tcPr>
            <w:shd w:val="clear" w:color="auto" w:fill="ffffff"/>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高清400万半球摄像机</w:t>
            </w:r>
            <w:r/>
          </w:p>
        </w:tc>
        <w:tc>
          <w:tcPr>
            <w:shd w:val="clear" w:color="auto" w:fill="auto"/>
            <w:tcBorders>
              <w:top w:val="single" w:color="000000" w:sz="4" w:space="0"/>
              <w:left w:val="single" w:color="000000" w:sz="4" w:space="0"/>
              <w:bottom w:val="single" w:color="000000" w:sz="4" w:space="0"/>
              <w:right w:val="single" w:color="000000" w:sz="4" w:space="0"/>
            </w:tcBorders>
            <w:tcW w:w="6463"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采用高性能≥400万像素CMOS图像传感器，低照度效果好，图像清晰度高</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最大可输出≥400万(2560x1440)@25fps</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支持H.265编码，压缩比高，超低码流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内置高效红外补光灯，最大红外监控距离≥30米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支持ROI，SMART H.264/H.265，灵活编码，适用不同带宽和存储环境</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支持数字宽动态，3D降噪，强光抑制，背光补偿，数字水印，适用不同监控环境</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支持多种异常检测：动态检测，视频遮挡，网络断开，IP冲突，音频异常侦测，非法访问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内置≥1个MIC</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支持DC12V/POE供电方式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支持IP67、IK10防护等级</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r>
      <w:tr>
        <w:trPr>
          <w:jc w:val="center"/>
          <w:trHeight w:val="675"/>
        </w:trPr>
        <w:tc>
          <w:tcPr>
            <w:shd w:val="clear" w:color="auto" w:fill="ffffff"/>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枪机支架</w:t>
            </w:r>
            <w:r/>
          </w:p>
        </w:tc>
        <w:tc>
          <w:tcPr>
            <w:shd w:val="clear" w:color="auto" w:fill="auto"/>
            <w:tcBorders>
              <w:top w:val="single" w:color="000000" w:sz="4" w:space="0"/>
              <w:left w:val="single" w:color="000000" w:sz="4" w:space="0"/>
              <w:bottom w:val="single" w:color="000000" w:sz="4" w:space="0"/>
              <w:right w:val="single" w:color="000000" w:sz="4" w:space="0"/>
            </w:tcBorders>
            <w:tcW w:w="6463"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外观颜色：白色；</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承重≥1.0kg；</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安装方式：壁装；</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r>
      <w:tr>
        <w:trPr>
          <w:jc w:val="center"/>
          <w:trHeight w:val="900"/>
        </w:trPr>
        <w:tc>
          <w:tcPr>
            <w:shd w:val="clear" w:color="auto" w:fill="ffffff"/>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半球支架</w:t>
            </w:r>
            <w:r/>
          </w:p>
        </w:tc>
        <w:tc>
          <w:tcPr>
            <w:shd w:val="clear" w:color="auto" w:fill="auto"/>
            <w:tcBorders>
              <w:top w:val="single" w:color="000000" w:sz="4" w:space="0"/>
              <w:left w:val="single" w:color="000000" w:sz="4" w:space="0"/>
              <w:bottom w:val="single" w:color="000000" w:sz="4" w:space="0"/>
              <w:right w:val="single" w:color="000000" w:sz="4" w:space="0"/>
            </w:tcBorders>
            <w:tcW w:w="6463"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承重≥1kg；</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安装方式：壁装；</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材质：铝合金；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颜色：白</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只</w:t>
            </w:r>
            <w:r/>
          </w:p>
        </w:tc>
      </w:tr>
      <w:tr>
        <w:trPr>
          <w:jc w:val="center"/>
          <w:trHeight w:val="900"/>
        </w:trPr>
        <w:tc>
          <w:tcPr>
            <w:shd w:val="clear" w:color="auto" w:fill="ffffff"/>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硬盘8T</w:t>
            </w:r>
            <w:r/>
          </w:p>
        </w:tc>
        <w:tc>
          <w:tcPr>
            <w:shd w:val="clear" w:color="auto" w:fill="auto"/>
            <w:tcBorders>
              <w:top w:val="single" w:color="000000" w:sz="4" w:space="0"/>
              <w:left w:val="single" w:color="000000" w:sz="4" w:space="0"/>
              <w:bottom w:val="single" w:color="000000" w:sz="4" w:space="0"/>
              <w:right w:val="single" w:color="000000" w:sz="4" w:space="0"/>
            </w:tcBorders>
            <w:tcW w:w="6463"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单盘容量≥8TB；</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缓存≥256MB；</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转速≥5400RPM；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硬盘接口：SATA</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块</w:t>
            </w:r>
            <w:r/>
          </w:p>
        </w:tc>
      </w:tr>
      <w:tr>
        <w:trPr>
          <w:jc w:val="center"/>
          <w:trHeight w:val="270"/>
        </w:trPr>
        <w:tc>
          <w:tcPr>
            <w:shd w:val="clear" w:color="auto" w:fill="ffffff"/>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网线</w:t>
            </w:r>
            <w:r/>
          </w:p>
        </w:tc>
        <w:tc>
          <w:tcPr>
            <w:shd w:val="clear" w:color="auto" w:fill="ffffff"/>
            <w:tcBorders>
              <w:top w:val="single" w:color="000000" w:sz="4" w:space="0"/>
              <w:left w:val="single" w:color="000000" w:sz="4" w:space="0"/>
              <w:bottom w:val="single" w:color="000000" w:sz="4" w:space="0"/>
              <w:right w:val="single" w:color="000000" w:sz="4" w:space="0"/>
            </w:tcBorders>
            <w:tcW w:w="6463"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超六类</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箱</w:t>
            </w:r>
            <w:r/>
          </w:p>
        </w:tc>
      </w:tr>
      <w:tr>
        <w:trPr>
          <w:jc w:val="center"/>
          <w:trHeight w:val="270"/>
        </w:trPr>
        <w:tc>
          <w:tcPr>
            <w:shd w:val="clear" w:color="auto" w:fill="ffffff"/>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电源线</w:t>
            </w:r>
            <w:r/>
          </w:p>
        </w:tc>
        <w:tc>
          <w:tcPr>
            <w:shd w:val="clear" w:color="auto" w:fill="ffffff"/>
            <w:tcBorders>
              <w:top w:val="single" w:color="000000" w:sz="4" w:space="0"/>
              <w:left w:val="single" w:color="000000" w:sz="4" w:space="0"/>
              <w:bottom w:val="single" w:color="000000" w:sz="4" w:space="0"/>
              <w:right w:val="single" w:color="000000" w:sz="4" w:space="0"/>
            </w:tcBorders>
            <w:tcW w:w="6463"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RVV2*2.5</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卷</w:t>
            </w:r>
            <w:r/>
          </w:p>
        </w:tc>
      </w:tr>
      <w:tr>
        <w:trPr>
          <w:jc w:val="center"/>
          <w:trHeight w:val="2250"/>
        </w:trPr>
        <w:tc>
          <w:tcPr>
            <w:shd w:val="clear" w:color="auto" w:fill="ffffff"/>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POE交换机4+2</w:t>
            </w:r>
            <w:r/>
          </w:p>
        </w:tc>
        <w:tc>
          <w:tcPr>
            <w:shd w:val="clear" w:color="auto" w:fill="auto"/>
            <w:tcBorders>
              <w:top w:val="single" w:color="000000" w:sz="4" w:space="0"/>
              <w:left w:val="single" w:color="000000" w:sz="4" w:space="0"/>
              <w:bottom w:val="single" w:color="000000" w:sz="4" w:space="0"/>
              <w:right w:val="single" w:color="000000" w:sz="4" w:space="0"/>
            </w:tcBorders>
            <w:tcW w:w="6463"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交换容量≥256Gbps；</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包转发率≥60Mpps；</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业务端口：具备≥4个10/100/1000BASE-T电口(PoE)、2个10/100/1000BASE-T电口；</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设备管理：WEB管理、APP管理；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空载功耗：≤3W；</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满载功耗：≤65W；</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PoE：Port1≤60W，Port2-4≤30W，总功率≤60W；</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散热方式：无风扇，自然散热；</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安装方式：桌面式安装；</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r>
      <w:tr>
        <w:trPr>
          <w:jc w:val="center"/>
          <w:trHeight w:val="2250"/>
        </w:trPr>
        <w:tc>
          <w:tcPr>
            <w:shd w:val="clear" w:color="auto" w:fill="ffffff"/>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POE交换机8+2</w:t>
            </w:r>
            <w:r/>
          </w:p>
        </w:tc>
        <w:tc>
          <w:tcPr>
            <w:shd w:val="clear" w:color="auto" w:fill="auto"/>
            <w:tcBorders>
              <w:top w:val="single" w:color="000000" w:sz="4" w:space="0"/>
              <w:left w:val="single" w:color="000000" w:sz="4" w:space="0"/>
              <w:bottom w:val="single" w:color="000000" w:sz="4" w:space="0"/>
              <w:right w:val="single" w:color="000000" w:sz="4" w:space="0"/>
            </w:tcBorders>
            <w:tcW w:w="6463"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交换容量≥256Gbps；</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包转发率≥60Mpps；</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业务端口：具备≥8个10/100/1000BASE-T电口(PoE)、2个10/100/1000BASE-T电口；</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设备管理：WEB管理、APP管理；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空载功耗：≤3W；</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满载功耗：≤65W；</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PoE：Port 1≤60W，Port2-8≤30W，总功率≤60W；</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散热方式：无风扇，自然散热；</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安装方式：桌面式安装；</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r>
      <w:tr>
        <w:trPr>
          <w:jc w:val="center"/>
          <w:trHeight w:val="2250"/>
        </w:trPr>
        <w:tc>
          <w:tcPr>
            <w:shd w:val="clear" w:color="auto" w:fill="ffffff"/>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POE交换机16+2</w:t>
            </w:r>
            <w:r/>
          </w:p>
        </w:tc>
        <w:tc>
          <w:tcPr>
            <w:shd w:val="clear" w:color="auto" w:fill="auto"/>
            <w:tcBorders>
              <w:top w:val="single" w:color="000000" w:sz="4" w:space="0"/>
              <w:left w:val="single" w:color="000000" w:sz="4" w:space="0"/>
              <w:bottom w:val="single" w:color="000000" w:sz="4" w:space="0"/>
              <w:right w:val="single" w:color="000000" w:sz="4" w:space="0"/>
            </w:tcBorders>
            <w:tcW w:w="6463"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交换容量≥256Gbps；</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包转发率≥60Mpps；</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业务端口：具备≥16个10/100/1000BASE-T电口(PoE)、2个10/100/1000BASE-T电口、2个1000BASE-X SFP端口；</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设备管理：WEB管理、APP管理；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空载功耗：≤6W；</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满载功耗：≤153W；</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PoE：Port 1-2≤90W，Port 3-16≤30W，总功率≤135W；</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散热方式：内置风扇散热；</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安装方式：桌面式、机架式安装；</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r>
      <w:tr>
        <w:trPr>
          <w:jc w:val="center"/>
          <w:trHeight w:val="2250"/>
        </w:trPr>
        <w:tc>
          <w:tcPr>
            <w:shd w:val="clear" w:color="auto" w:fill="ffffff"/>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POE交换机24+2</w:t>
            </w:r>
            <w:r/>
          </w:p>
        </w:tc>
        <w:tc>
          <w:tcPr>
            <w:shd w:val="clear" w:color="auto" w:fill="auto"/>
            <w:tcBorders>
              <w:top w:val="single" w:color="000000" w:sz="4" w:space="0"/>
              <w:left w:val="single" w:color="000000" w:sz="4" w:space="0"/>
              <w:bottom w:val="single" w:color="000000" w:sz="4" w:space="0"/>
              <w:right w:val="single" w:color="000000" w:sz="4" w:space="0"/>
            </w:tcBorders>
            <w:tcW w:w="6463"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交换容量≥256Gbps；</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包转发率≥60Mpps；</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业务端口：具备≥24个10/100/1000BASE-T电口(PoE)、2个10/100/1000BASE-T电口、2个1000BASE-X SFP端口；</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设备管理：WEB管理、APP管理；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空载功耗：≤6W；</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满载功耗：≤265W；</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PoE：Port 1-2≤90W，Port 3-24≤30W，总功率≤240W；</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散热方式：内置风扇散热；</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安装方式：桌面式、机架式安装；</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r>
      <w:tr>
        <w:trPr>
          <w:jc w:val="center"/>
          <w:trHeight w:val="2250"/>
        </w:trPr>
        <w:tc>
          <w:tcPr>
            <w:shd w:val="clear" w:color="auto" w:fill="ffffff"/>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存储服务器</w:t>
            </w:r>
            <w:r/>
          </w:p>
        </w:tc>
        <w:tc>
          <w:tcPr>
            <w:shd w:val="clear" w:color="auto" w:fill="auto"/>
            <w:tcBorders>
              <w:top w:val="single" w:color="000000" w:sz="4" w:space="0"/>
              <w:left w:val="single" w:color="000000" w:sz="4" w:space="0"/>
              <w:bottom w:val="single" w:color="000000" w:sz="4" w:space="0"/>
              <w:right w:val="single" w:color="000000" w:sz="4" w:space="0"/>
            </w:tcBorders>
            <w:tcW w:w="6463"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采用64位高性能多核处理器；国产操作系统；</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高速缓存≥8GB，可扩展至64GB；</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视频直存（私有协议）：最大支持≥450路（1024Mbps）前端接入、存储、转发，32路（64Mbps）网络回放；</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b/>
                <w:bCs/>
                <w:i w:val="0"/>
                <w:iCs w:val="0"/>
                <w:color w:val="auto"/>
                <w:sz w:val="18"/>
                <w:szCs w:val="18"/>
                <w:highlight w:val="none"/>
                <w:u w:val="none"/>
                <w:lang w:val="en-US" w:eastAsia="zh-CN" w:bidi="ar"/>
              </w:rPr>
              <w:t xml:space="preserve">▲可将指定选择时间段和指定录像类型（报警、事件、定时等）的录像文件进行回传，支持每日自动定时回传</w:t>
            </w:r>
            <w:r>
              <w:rPr>
                <w:rFonts w:hint="eastAsia" w:ascii="宋体" w:hAnsi="宋体" w:eastAsia="宋体" w:cs="宋体"/>
                <w:b/>
                <w:bCs/>
                <w:i w:val="0"/>
                <w:iCs w:val="0"/>
                <w:color w:val="auto"/>
                <w:sz w:val="18"/>
                <w:szCs w:val="18"/>
                <w:highlight w:val="none"/>
                <w:u w:val="none"/>
                <w:lang w:val="en-US" w:eastAsia="zh-CN" w:bidi="ar"/>
              </w:rPr>
              <w:t xml:space="preserve">（提供公安部有效检测报告复印件加盖投标人公章）</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硬盘接口≥48个；SATA；单盘最大支持24TB，SMR单盘最大支持25TB；</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支持热插拔；支持CMR，SMR；</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r>
      <w:tr>
        <w:trPr>
          <w:jc w:val="center"/>
          <w:trHeight w:val="270"/>
        </w:trPr>
        <w:tc>
          <w:tcPr>
            <w:shd w:val="clear" w:color="auto" w:fill="ffffff"/>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电源线</w:t>
            </w:r>
            <w:r/>
          </w:p>
        </w:tc>
        <w:tc>
          <w:tcPr>
            <w:shd w:val="clear" w:color="auto" w:fill="ffffff"/>
            <w:tcBorders>
              <w:top w:val="single" w:color="000000" w:sz="4" w:space="0"/>
              <w:left w:val="single" w:color="000000" w:sz="4" w:space="0"/>
              <w:bottom w:val="single" w:color="000000" w:sz="4" w:space="0"/>
              <w:right w:val="single" w:color="000000" w:sz="4" w:space="0"/>
            </w:tcBorders>
            <w:tcW w:w="6463"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RVV2*4</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米</w:t>
            </w:r>
            <w:r/>
          </w:p>
        </w:tc>
      </w:tr>
      <w:tr>
        <w:trPr>
          <w:jc w:val="center"/>
          <w:trHeight w:val="270"/>
        </w:trPr>
        <w:tc>
          <w:tcPr>
            <w:gridSpan w:val="5"/>
            <w:shd w:val="clear" w:color="auto" w:fill="auto"/>
            <w:tcBorders>
              <w:top w:val="single" w:color="000000" w:sz="4" w:space="0"/>
              <w:left w:val="single" w:color="000000" w:sz="4" w:space="0"/>
              <w:bottom w:val="single" w:color="000000" w:sz="4" w:space="0"/>
              <w:right w:val="single" w:color="000000" w:sz="4" w:space="0"/>
            </w:tcBorders>
            <w:tcW w:w="1008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融媒体制作中心</w:t>
            </w:r>
            <w:r/>
          </w:p>
        </w:tc>
      </w:tr>
      <w:tr>
        <w:trPr>
          <w:jc w:val="center"/>
          <w:trHeight w:val="270"/>
        </w:trPr>
        <w:tc>
          <w:tcPr>
            <w:gridSpan w:val="5"/>
            <w:shd w:val="clear" w:color="auto" w:fill="auto"/>
            <w:tcBorders>
              <w:top w:val="single" w:color="000000" w:sz="4" w:space="0"/>
              <w:left w:val="single" w:color="000000" w:sz="4" w:space="0"/>
              <w:bottom w:val="single" w:color="000000" w:sz="4" w:space="0"/>
              <w:right w:val="none" w:color="000000" w:sz="4" w:space="0"/>
            </w:tcBorders>
            <w:tcW w:w="10082" w:type="dxa"/>
            <w:vAlign w:val="center"/>
            <w:textDirection w:val="lrTb"/>
            <w:noWrap/>
          </w:tcPr>
          <w:p>
            <w:pPr>
              <w:ind w:firstLine="0"/>
              <w:jc w:val="left"/>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一、核心设备</w:t>
            </w:r>
            <w:r/>
          </w:p>
        </w:tc>
      </w:tr>
      <w:tr>
        <w:trPr>
          <w:jc w:val="center"/>
          <w:trHeight w:val="8190"/>
        </w:trPr>
        <w:tc>
          <w:tcPr>
            <w:shd w:val="clear" w:color="auto" w:fill="auto"/>
            <w:tcBorders>
              <w:top w:val="none" w:color="000000" w:sz="4" w:space="0"/>
              <w:left w:val="single" w:color="000000" w:sz="4" w:space="0"/>
              <w:bottom w:val="single" w:color="000000" w:sz="4" w:space="0"/>
              <w:right w:val="single" w:color="000000" w:sz="4" w:space="0"/>
            </w:tcBorders>
            <w:tcW w:w="81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高清虚拟演播室系统</w:t>
            </w:r>
            <w:r/>
          </w:p>
        </w:tc>
        <w:tc>
          <w:tcPr>
            <w:shd w:val="clear" w:color="auto" w:fill="auto"/>
            <w:tcBorders>
              <w:top w:val="single" w:color="000000" w:sz="4" w:space="0"/>
              <w:left w:val="single" w:color="000000" w:sz="4" w:space="0"/>
              <w:bottom w:val="single" w:color="000000" w:sz="4" w:space="0"/>
              <w:right w:val="single" w:color="000000" w:sz="4" w:space="0"/>
            </w:tcBorders>
            <w:tcW w:w="6463" w:type="dxa"/>
            <w:vAlign w:val="center"/>
            <w:textDirection w:val="lrTb"/>
            <w:noWrap w:val="false"/>
          </w:tcPr>
          <w:p>
            <w:pPr>
              <w:numPr>
                <w:ilvl w:val="0"/>
                <w:numId w:val="4"/>
              </w:num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支持Magic5D等通用数字图文影视制作软件生成的组合动画模板导入，支持.asn .pef .plf等输入格式；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2.支持3DMAX、MAYA等通用三维软件生成的三维场景模型的导入；</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3.支持预监功能：可实时查看监控物理机位、虚拟机位、本地视频、流媒体、外视频等多路信号；</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4.系统可支持模板化动画播出，可直接导入DESIGNER等通用动画编辑设计器生成的组合模板，模板包含字幕条、三维物体、动画等；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活动视频功能：支持虚拟场景中的任意面都可以进行视频的播放，可同时实现多路虚拟电视墙视频开窗；支持虚拟大屏飞出特效，可对飞出角度、三维旋转、飞出时长、半透明和Alpha遮挡等属性进行设置；缩放过程中未出现爬行、闪烁等现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6.在播出的过程中，支持实时修改引出项实现实时修改文字内容；</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b/>
                <w:bCs/>
                <w:i w:val="0"/>
                <w:iCs w:val="0"/>
                <w:color w:val="auto"/>
                <w:sz w:val="18"/>
                <w:szCs w:val="18"/>
                <w:highlight w:val="none"/>
                <w:u w:val="none"/>
                <w:lang w:val="en-US" w:eastAsia="zh-CN" w:bidi="ar"/>
              </w:rPr>
              <w:t xml:space="preserve">7.▲视频教学功能：支持虚拟大屏播放PPT、视频素材、动画等教学资源，并可手动或自动控制PPT播放进度（</w:t>
            </w:r>
            <w:r>
              <w:rPr>
                <w:rFonts w:hint="eastAsia" w:ascii="宋体" w:hAnsi="宋体" w:eastAsia="宋体" w:cs="宋体"/>
                <w:b/>
                <w:bCs/>
                <w:i w:val="0"/>
                <w:iCs w:val="0"/>
                <w:color w:val="auto"/>
                <w:sz w:val="18"/>
                <w:szCs w:val="18"/>
                <w:highlight w:val="none"/>
                <w:u w:val="none"/>
                <w:lang w:val="en-US" w:eastAsia="zh-CN" w:bidi="ar"/>
              </w:rPr>
              <w:t xml:space="preserve">提供具有 CNAS或CMA或CAL认证的权威检测机构出具的检测报告复印件证明并加盖投标人公章</w:t>
            </w:r>
            <w:r>
              <w:rPr>
                <w:rFonts w:hint="eastAsia" w:ascii="宋体" w:hAnsi="宋体" w:eastAsia="宋体" w:cs="宋体"/>
                <w:b/>
                <w:bCs/>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8.可实时嵌入内视频，支持高清、标清视频播放，支持视频DVE特技，支持外视频输入；</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9.支持角标、栏目LOGO、字幕功能，能够实时添加2D/3D文字，并能够控制游飞字幕的滚动，字幕条可实现纹理贴图；</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b/>
                <w:bCs/>
                <w:i w:val="0"/>
                <w:iCs w:val="0"/>
                <w:color w:val="auto"/>
                <w:sz w:val="18"/>
                <w:szCs w:val="18"/>
                <w:highlight w:val="none"/>
                <w:u w:val="none"/>
                <w:lang w:val="en-US" w:eastAsia="zh-CN" w:bidi="ar"/>
              </w:rPr>
              <w:t xml:space="preserve">10.▲平面剪裁动态蓝箱功能：可实现360°动态无限蓝箱，可接受并响应摄像机的跟踪参数，在摄像机做360°旋转和变焦时，蓝箱之外的区域不进入取景范围（</w:t>
            </w:r>
            <w:r>
              <w:rPr>
                <w:rFonts w:hint="eastAsia" w:ascii="宋体" w:hAnsi="宋体" w:eastAsia="宋体" w:cs="宋体"/>
                <w:b/>
                <w:bCs/>
                <w:i w:val="0"/>
                <w:iCs w:val="0"/>
                <w:color w:val="auto"/>
                <w:sz w:val="18"/>
                <w:szCs w:val="18"/>
                <w:highlight w:val="none"/>
                <w:u w:val="none"/>
                <w:lang w:val="en-US" w:eastAsia="zh-CN" w:bidi="ar"/>
              </w:rPr>
              <w:t xml:space="preserve">提供具有 CNAS或CMA或CAL认证的权威检测机构出具的检测报告复印件证明并加盖投标人公章</w:t>
            </w:r>
            <w:r>
              <w:rPr>
                <w:rFonts w:hint="eastAsia" w:ascii="宋体" w:hAnsi="宋体" w:eastAsia="宋体" w:cs="宋体"/>
                <w:b/>
                <w:bCs/>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11.支持物理跟踪，能够跟踪摄像机的推拉摇移等运动，可实现前景主持人和虚拟场景同时运动，且图像平滑连续、不闪烁、无抖动、不撕裂、不拖尾、跟踪精度高速度快</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b/>
                <w:bCs/>
                <w:i w:val="0"/>
                <w:iCs w:val="0"/>
                <w:color w:val="auto"/>
                <w:sz w:val="18"/>
                <w:szCs w:val="18"/>
                <w:highlight w:val="none"/>
                <w:u w:val="none"/>
                <w:lang w:val="en-US" w:eastAsia="zh-CN" w:bidi="ar"/>
              </w:rPr>
              <w:t xml:space="preserve">12.▲独特的初始化定位功能，在机位移动后，跟踪状态仍然能够保持，无需调整初始化参数，无须测量，自适应初始化定位（</w:t>
            </w:r>
            <w:r>
              <w:rPr>
                <w:rFonts w:hint="eastAsia" w:ascii="宋体" w:hAnsi="宋体" w:eastAsia="宋体" w:cs="宋体"/>
                <w:b/>
                <w:bCs/>
                <w:i w:val="0"/>
                <w:iCs w:val="0"/>
                <w:color w:val="auto"/>
                <w:sz w:val="18"/>
                <w:szCs w:val="18"/>
                <w:highlight w:val="none"/>
                <w:u w:val="none"/>
                <w:lang w:val="en-US" w:eastAsia="zh-CN" w:bidi="ar"/>
              </w:rPr>
              <w:t xml:space="preserve">提供具有 CNAS或CMA或CAL认证的权威检测机构出具的检测报告复印件证明并加盖投标人公章</w:t>
            </w:r>
            <w:r>
              <w:rPr>
                <w:rFonts w:hint="eastAsia" w:ascii="宋体" w:hAnsi="宋体" w:eastAsia="宋体" w:cs="宋体"/>
                <w:b/>
                <w:bCs/>
                <w:i w:val="0"/>
                <w:iCs w:val="0"/>
                <w:color w:val="auto"/>
                <w:sz w:val="18"/>
                <w:szCs w:val="18"/>
                <w:highlight w:val="none"/>
                <w:u w:val="none"/>
                <w:lang w:val="en-US" w:eastAsia="zh-CN" w:bidi="ar"/>
              </w:rPr>
              <w:t xml:space="preserve">）；</w:t>
            </w:r>
            <w:r>
              <w:rPr>
                <w:rFonts w:hint="eastAsia" w:ascii="宋体" w:hAnsi="宋体" w:eastAsia="宋体" w:cs="宋体"/>
                <w:b/>
                <w:bCs/>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13.跟踪精度：俯仰、平摇的角精度&lt;0.001°，变焦精度&lt;0.002°；摄像机反复运动后不会产生累计误差，各种移动跟踪精度不低于0.001度；</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b/>
                <w:bCs/>
                <w:i w:val="0"/>
                <w:iCs w:val="0"/>
                <w:color w:val="auto"/>
                <w:sz w:val="18"/>
                <w:szCs w:val="18"/>
                <w:highlight w:val="none"/>
                <w:u w:val="none"/>
                <w:lang w:val="en-US" w:eastAsia="zh-CN" w:bidi="ar"/>
              </w:rPr>
              <w:t xml:space="preserve">14.▲支持“自动景深识别”功能，虚焦的程度可自行调节从而使拍出的画面主题突出，更加真实（</w:t>
            </w:r>
            <w:r>
              <w:rPr>
                <w:rFonts w:hint="eastAsia" w:ascii="宋体" w:hAnsi="宋体" w:eastAsia="宋体" w:cs="宋体"/>
                <w:b/>
                <w:bCs/>
                <w:i w:val="0"/>
                <w:iCs w:val="0"/>
                <w:color w:val="auto"/>
                <w:sz w:val="18"/>
                <w:szCs w:val="18"/>
                <w:highlight w:val="none"/>
                <w:u w:val="none"/>
                <w:lang w:val="en-US" w:eastAsia="zh-CN" w:bidi="ar"/>
              </w:rPr>
              <w:t xml:space="preserve">提供具有 CNAS或CMA或CAL认证的检测机构出具的检测报告复印件证明并加盖投标人公章</w:t>
            </w:r>
            <w:r>
              <w:rPr>
                <w:rFonts w:hint="eastAsia" w:ascii="宋体" w:hAnsi="宋体" w:eastAsia="宋体" w:cs="宋体"/>
                <w:b/>
                <w:bCs/>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15.独特的虚拟遮挡功能，可结合自动景深识别功能，实现主持人在虚拟场景、虚拟物体中任意穿越；主持人在场景中拥有正确的遮挡关系，可实现手动和自动遮挡，使得三维虚拟演播室的应用更加真实、有层次感；</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16.关键帧动画编辑，可编辑所有物件表面的静态贴图和动态贴图，可设定三维物体的透明度、旋转角度和运动速度；</w:t>
            </w:r>
            <w:r/>
          </w:p>
          <w:p>
            <w:pPr>
              <w:numPr>
                <w:ilvl w:val="0"/>
                <w:numId w:val="0"/>
              </w:numPr>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17.支持数字高/标清SDI信号多路输入，支持数字高/标清信号SDI输出, 支持高清、标清画面实时渲染和输出,高清1080p制作，并向下兼容至标清；支持HD/SD SDI、HDMI等视频信号接口；</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18.真三维实时渲染引擎，基于场频广播级实时渲染图像输出，支持高清、标清画面实时渲染和输出，支持高、标清制式任意切换；</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19.灵活的播出方式，关键帧播放列表可按照顺序进行播出，实现多元化的播出效果；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20.支持外接摄像机TALLY信号，当切换物理机位时相对应的摄像机会亮红灯分别给主持人、摄像和导播室予以提示；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21.抗锯齿功能，可以有效的消除场景中多边形结合处（特别是较小的多边形间组合中）的错位现象，降低图像的失真度，保证广播级输出效果；</w:t>
            </w:r>
            <w:r/>
          </w:p>
          <w:p>
            <w:pPr>
              <w:numPr>
                <w:ilvl w:val="0"/>
                <w:numId w:val="0"/>
              </w:numPr>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22.▲支持动画设计器支持骨骼动画及蒙皮技术；（</w:t>
            </w:r>
            <w:r>
              <w:rPr>
                <w:rFonts w:hint="eastAsia" w:ascii="宋体" w:hAnsi="宋体" w:eastAsia="宋体" w:cs="宋体"/>
                <w:b/>
                <w:bCs/>
                <w:i w:val="0"/>
                <w:iCs w:val="0"/>
                <w:color w:val="auto"/>
                <w:sz w:val="18"/>
                <w:szCs w:val="18"/>
                <w:highlight w:val="none"/>
                <w:u w:val="none"/>
                <w:lang w:val="en-US" w:eastAsia="zh-CN" w:bidi="ar"/>
              </w:rPr>
              <w:t xml:space="preserve">提供具有 CNAS或CMA或CAL认证的检测机构出具的检测报告复印件证明并加盖投标人公章</w:t>
            </w:r>
            <w:r>
              <w:rPr>
                <w:rFonts w:hint="eastAsia" w:ascii="宋体" w:hAnsi="宋体" w:eastAsia="宋体" w:cs="宋体"/>
                <w:b/>
                <w:bCs/>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b/>
                <w:bCs/>
                <w:i w:val="0"/>
                <w:iCs w:val="0"/>
                <w:color w:val="auto"/>
                <w:sz w:val="18"/>
                <w:szCs w:val="18"/>
                <w:highlight w:val="none"/>
                <w:u w:val="none"/>
                <w:lang w:val="en-US" w:eastAsia="zh-CN" w:bidi="ar"/>
              </w:rPr>
              <w:t xml:space="preserve">23.▲支持动捕系统实时数据；（</w:t>
            </w:r>
            <w:r>
              <w:rPr>
                <w:rFonts w:hint="eastAsia" w:ascii="宋体" w:hAnsi="宋体" w:eastAsia="宋体" w:cs="宋体"/>
                <w:b/>
                <w:bCs/>
                <w:i w:val="0"/>
                <w:iCs w:val="0"/>
                <w:color w:val="auto"/>
                <w:sz w:val="18"/>
                <w:szCs w:val="18"/>
                <w:highlight w:val="none"/>
                <w:u w:val="none"/>
                <w:lang w:val="en-US" w:eastAsia="zh-CN" w:bidi="ar"/>
              </w:rPr>
              <w:t xml:space="preserve">提供具有 CNAS或CMA或CAL认证的权威检测机构出具的检测报告复印件证明并加盖投标人公章</w:t>
            </w:r>
            <w:r>
              <w:rPr>
                <w:rFonts w:hint="eastAsia" w:ascii="宋体" w:hAnsi="宋体" w:eastAsia="宋体" w:cs="宋体"/>
                <w:b/>
                <w:bCs/>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br/>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r>
      <w:tr>
        <w:trPr>
          <w:jc w:val="center"/>
          <w:trHeight w:val="2475"/>
        </w:trPr>
        <w:tc>
          <w:tcPr>
            <w:shd w:val="clear" w:color="auto" w:fill="auto"/>
            <w:tcBorders>
              <w:top w:val="none" w:color="000000" w:sz="4" w:space="0"/>
              <w:left w:val="single" w:color="000000" w:sz="4" w:space="0"/>
              <w:bottom w:val="single" w:color="000000" w:sz="4" w:space="0"/>
              <w:right w:val="single" w:color="000000" w:sz="4" w:space="0"/>
            </w:tcBorders>
            <w:tcW w:w="81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高清虚拟演播室工作站</w:t>
            </w:r>
            <w:r>
              <w:rPr>
                <w:rFonts w:hint="eastAsia" w:ascii="宋体" w:hAnsi="宋体" w:cs="宋体"/>
                <w:i w:val="0"/>
                <w:iCs w:val="0"/>
                <w:color w:val="auto"/>
                <w:sz w:val="18"/>
                <w:szCs w:val="18"/>
                <w:highlight w:val="none"/>
                <w:u w:val="none"/>
                <w:lang w:val="en-US" w:eastAsia="zh-CN" w:bidi="ar"/>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6463"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渲染工作站不低于以下硬件环境</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渲染服务器：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CPU：主频处理器基本频率2.90 GHz，最大睿频频率4.8GHz，缓存16MB，8核 16线程；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主板</w:t>
            </w:r>
            <w:r>
              <w:rPr>
                <w:rFonts w:hint="eastAsia" w:ascii="宋体" w:hAnsi="宋体" w:cs="宋体"/>
                <w:i w:val="0"/>
                <w:iCs w:val="0"/>
                <w:color w:val="auto"/>
                <w:sz w:val="18"/>
                <w:szCs w:val="18"/>
                <w:highlight w:val="none"/>
                <w:u w:val="none"/>
                <w:lang w:val="en-US" w:eastAsia="zh-CN" w:bidi="ar"/>
              </w:rPr>
              <w:t xml:space="preserve">：</w:t>
            </w:r>
            <w:r>
              <w:rPr>
                <w:rFonts w:hint="eastAsia" w:ascii="宋体" w:hAnsi="宋体" w:eastAsia="宋体" w:cs="宋体"/>
                <w:i w:val="0"/>
                <w:iCs w:val="0"/>
                <w:color w:val="auto"/>
                <w:sz w:val="18"/>
                <w:szCs w:val="18"/>
                <w:highlight w:val="none"/>
                <w:u w:val="none"/>
                <w:lang w:val="en-US" w:eastAsia="zh-CN" w:bidi="ar"/>
              </w:rPr>
              <w:t xml:space="preserve">VRM散热片和导热贴片，双M.2内存插槽；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内存：4*4G；</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显卡：CUDA核心：896；GPU显存：8G；显存带宽：160GB/s；</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硬盘：7200rpm SATA 1000G+固态硬盘250G；</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机箱：4U机箱；</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r>
      <w:tr>
        <w:trPr>
          <w:jc w:val="center"/>
          <w:trHeight w:val="8190"/>
        </w:trPr>
        <w:tc>
          <w:tcPr>
            <w:shd w:val="clear" w:color="auto" w:fill="auto"/>
            <w:tcBorders>
              <w:top w:val="none" w:color="000000" w:sz="4" w:space="0"/>
              <w:left w:val="single" w:color="000000" w:sz="4" w:space="0"/>
              <w:bottom w:val="single" w:color="000000" w:sz="4" w:space="0"/>
              <w:right w:val="single" w:color="000000" w:sz="4" w:space="0"/>
            </w:tcBorders>
            <w:tcW w:w="81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直点播系统</w:t>
            </w:r>
            <w:r/>
          </w:p>
        </w:tc>
        <w:tc>
          <w:tcPr>
            <w:shd w:val="clear" w:color="auto" w:fill="auto"/>
            <w:tcBorders>
              <w:top w:val="single" w:color="000000" w:sz="4" w:space="0"/>
              <w:left w:val="single" w:color="000000" w:sz="4" w:space="0"/>
              <w:bottom w:val="single" w:color="000000" w:sz="4" w:space="0"/>
              <w:right w:val="single" w:color="000000" w:sz="4" w:space="0"/>
            </w:tcBorders>
            <w:tcW w:w="6463"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平台管理系统:平台管理系统实现资源管理、直播点播管理、设备管理功能，校内巡课功能。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一、功能模块功能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1、支持首页设置、直播模块显示、视频模块显示、专辑模块显示、巡课模块显示。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2、具有后台管理功能模块，设备管理功能模块、巡课管理能模块；。</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二、直播点播功能管理模块</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1、支持直播课程名称、类型、简介、时间日期设置。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2、支持课件评论功能；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3、支持进入点播界面进行点播观看视频资源，支持微信扫码观看视频资源。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三、个人空间管理模块</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1、支持个人空间管理功能，支持个人资料信息、直播、视频、专辑、消息、收藏、设备管理功能（提供软件界面截图）。</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2、支持视频资源管理功能，支持视频资源上传。</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四、后台功能管理模块</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1、支持录播设备管理功能、可以手动添加校内录播设备、提供包括设备IP、教室号、直播状态、录播状态的显示；可以手动操作设置RTMP推流、开始录播等功能。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2、支持巡课功能；可按年级、班级进行校内巡课；</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3、支持直播、视频、专辑的审核功能；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4、支持用户管理能，可配置学生，老师和管理员的不同权限设置；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5、具备系统监控功能，可显示平台的操作系统信息，CPU的空闲和使用比例曲线图、内存的使用比例曲线图；硬盘的使用空间情况显示；。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五、直播管理系统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1、支持课堂视频直播功能，老师和管理员可以添加直播频道，与录播主机系统进行无缝对接；</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2、支持直播时间设定功能：根据课程直播进行设置开始及结束直播时间设定；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3、支持直播标题、课程简介等信进行直播管理；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4、支持网络端观看直播，移动端扫码观看直播；</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5、Flash视频直播方式，无需安装其它插件，即可观看直播，用户需要登入后可观看直播时支持文字互动评论功能；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六、视频管理系统</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1、支持视频资源分类管理，可按照年级、学科等维度进行分类呈现。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2、支持视频课件的搜索功能，可直接通过页面搜索框，找到相应的课件视频；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3、支持视频点播描功能，通过手机等同步观看视频；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4、支持视频观看过程中进行文字评论、收藏、下载功能；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b/>
                <w:bCs/>
                <w:i w:val="0"/>
                <w:iCs w:val="0"/>
                <w:color w:val="auto"/>
                <w:sz w:val="18"/>
                <w:szCs w:val="18"/>
                <w:highlight w:val="none"/>
                <w:u w:val="none"/>
                <w:lang w:val="en-US" w:eastAsia="zh-CN" w:bidi="ar"/>
              </w:rPr>
              <w:t xml:space="preserve">5、▲支持课程互动：平台支持用户在观看直播、课程时输入昵称与其他学员进行在线文字互动，后台支持关键词设置，设置后前端可以屏蔽该关键词；支持在线文字互动内容弹幕显示，支持对课程内容点赞；支持显示课程总浏览量，当前观看人数。</w:t>
            </w:r>
            <w:r>
              <w:rPr>
                <w:rFonts w:hint="eastAsia" w:ascii="宋体" w:hAnsi="宋体" w:eastAsia="宋体" w:cs="宋体"/>
                <w:b/>
                <w:bCs/>
                <w:i w:val="0"/>
                <w:iCs w:val="0"/>
                <w:color w:val="auto"/>
                <w:sz w:val="18"/>
                <w:szCs w:val="18"/>
                <w:highlight w:val="none"/>
                <w:u w:val="none"/>
                <w:lang w:val="en-US" w:eastAsia="zh-CN" w:bidi="ar"/>
              </w:rPr>
              <w:t xml:space="preserve">（提供软件截图证明并加盖投标人公章）</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r>
      <w:tr>
        <w:trPr>
          <w:jc w:val="center"/>
          <w:trHeight w:val="1800"/>
        </w:trPr>
        <w:tc>
          <w:tcPr>
            <w:shd w:val="clear" w:color="auto" w:fill="auto"/>
            <w:tcBorders>
              <w:top w:val="none" w:color="000000" w:sz="4" w:space="0"/>
              <w:left w:val="single" w:color="000000" w:sz="4" w:space="0"/>
              <w:bottom w:val="single" w:color="000000" w:sz="4" w:space="0"/>
              <w:right w:val="single" w:color="000000" w:sz="4" w:space="0"/>
            </w:tcBorders>
            <w:tcW w:w="81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直点播服务器</w:t>
            </w:r>
            <w:r/>
          </w:p>
        </w:tc>
        <w:tc>
          <w:tcPr>
            <w:shd w:val="clear" w:color="auto" w:fill="auto"/>
            <w:tcBorders>
              <w:top w:val="single" w:color="000000" w:sz="4" w:space="0"/>
              <w:left w:val="single" w:color="000000" w:sz="4" w:space="0"/>
              <w:bottom w:val="single" w:color="000000" w:sz="4" w:space="0"/>
              <w:right w:val="single" w:color="000000" w:sz="4" w:space="0"/>
            </w:tcBorders>
            <w:tcW w:w="6463"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直播服务器不低于以下硬件环境</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CPU：主频处理器基本频率2.90 GHz，最大睿频频率4.8GHz，缓存16MB，8核 16线程；</w:t>
            </w:r>
            <w:r/>
          </w:p>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主板：双M.2内存插槽；</w:t>
            </w:r>
            <w:r/>
          </w:p>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内存：4*4G；</w:t>
            </w:r>
            <w:r/>
          </w:p>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显卡：核心：896；GPU显存：8G；显存带宽：160GB/s；</w:t>
            </w:r>
            <w:r/>
          </w:p>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硬盘：7200rpm SATA 1000G+固态硬盘250G；</w:t>
            </w:r>
            <w:r/>
          </w:p>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广播级高清视频板卡：</w:t>
            </w:r>
            <w:r/>
          </w:p>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机箱：4U机箱；</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r>
      <w:tr>
        <w:trPr>
          <w:jc w:val="center"/>
          <w:trHeight w:val="5190"/>
        </w:trPr>
        <w:tc>
          <w:tcPr>
            <w:shd w:val="clear" w:color="auto" w:fill="auto"/>
            <w:tcBorders>
              <w:top w:val="none" w:color="000000" w:sz="4" w:space="0"/>
              <w:left w:val="single" w:color="000000" w:sz="4" w:space="0"/>
              <w:bottom w:val="single" w:color="000000" w:sz="4" w:space="0"/>
              <w:right w:val="single" w:color="000000" w:sz="4" w:space="0"/>
            </w:tcBorders>
            <w:tcW w:w="81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非编系统</w:t>
            </w:r>
            <w:r/>
          </w:p>
        </w:tc>
        <w:tc>
          <w:tcPr>
            <w:shd w:val="clear" w:color="auto" w:fill="auto"/>
            <w:tcBorders>
              <w:top w:val="single" w:color="000000" w:sz="4" w:space="0"/>
              <w:left w:val="single" w:color="000000" w:sz="4" w:space="0"/>
              <w:bottom w:val="single" w:color="000000" w:sz="4" w:space="0"/>
              <w:right w:val="single" w:color="000000" w:sz="4" w:space="0"/>
            </w:tcBorders>
            <w:tcW w:w="6463"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Style w:val="1121"/>
                <w:rFonts w:hint="eastAsia" w:ascii="宋体" w:hAnsi="宋体" w:eastAsia="宋体" w:cs="宋体"/>
                <w:color w:val="auto"/>
                <w:highlight w:val="none"/>
                <w:lang w:val="en-US" w:eastAsia="zh-CN" w:bidi="ar"/>
              </w:rPr>
              <w:t xml:space="preserve">1.更胜一筹的4K编辑流程，支持Blackmagic Design的Deck</w:t>
            </w:r>
            <w:r>
              <w:rPr>
                <w:rStyle w:val="1121"/>
                <w:rFonts w:hint="eastAsia" w:ascii="宋体" w:hAnsi="宋体" w:eastAsia="宋体" w:cs="宋体"/>
                <w:color w:val="auto"/>
                <w:highlight w:val="none"/>
                <w:lang w:val="en-US" w:eastAsia="zh-CN" w:bidi="ar"/>
              </w:rPr>
              <w:t xml:space="preserve">Link 4K Extreme，Ultra Studio 4K，AJA KONA 3G (仅预览）非编硬件，支持使用Grass Valley HQX编码的EDL 或 AAF 导入/导出，与DaVinci Resolve 11交换时间线校色流程</w:t>
            </w:r>
            <w:r>
              <w:rPr>
                <w:rStyle w:val="1121"/>
                <w:rFonts w:hint="eastAsia" w:ascii="宋体" w:hAnsi="宋体" w:eastAsia="宋体" w:cs="宋体"/>
                <w:color w:val="auto"/>
                <w:highlight w:val="none"/>
                <w:lang w:val="en-US" w:eastAsia="zh-CN" w:bidi="ar"/>
              </w:rPr>
              <w:br/>
            </w:r>
            <w:r>
              <w:rPr>
                <w:rStyle w:val="1121"/>
                <w:rFonts w:hint="eastAsia" w:ascii="宋体" w:hAnsi="宋体" w:eastAsia="宋体" w:cs="宋体"/>
                <w:color w:val="auto"/>
                <w:highlight w:val="none"/>
                <w:lang w:val="en-US" w:eastAsia="zh-CN" w:bidi="ar"/>
              </w:rPr>
              <w:t xml:space="preserve">2.支持Blackmagic Design, Matrox 和 AJA的第三方板卡</w:t>
            </w:r>
            <w:r>
              <w:rPr>
                <w:rStyle w:val="1121"/>
                <w:rFonts w:hint="eastAsia" w:ascii="宋体" w:hAnsi="宋体" w:eastAsia="宋体" w:cs="宋体"/>
                <w:color w:val="auto"/>
                <w:highlight w:val="none"/>
                <w:lang w:val="en-US" w:eastAsia="zh-CN" w:bidi="ar"/>
              </w:rPr>
              <w:br/>
            </w:r>
            <w:r>
              <w:rPr>
                <w:rStyle w:val="1121"/>
                <w:rFonts w:hint="eastAsia" w:ascii="宋体" w:hAnsi="宋体" w:eastAsia="宋体" w:cs="宋体"/>
                <w:color w:val="auto"/>
                <w:highlight w:val="none"/>
                <w:lang w:val="en-US" w:eastAsia="zh-CN" w:bidi="ar"/>
              </w:rPr>
              <w:t xml:space="preserve">3.混编多种分辨率素材-从24*24到4K*2K，在同一时间线实时转换不同帧速率，为编辑人员提高了工作效率</w:t>
            </w:r>
            <w:r>
              <w:rPr>
                <w:rStyle w:val="1121"/>
                <w:rFonts w:hint="eastAsia" w:ascii="宋体" w:hAnsi="宋体" w:eastAsia="宋体" w:cs="宋体"/>
                <w:color w:val="auto"/>
                <w:highlight w:val="none"/>
                <w:lang w:val="en-US" w:eastAsia="zh-CN" w:bidi="ar"/>
              </w:rPr>
              <w:br/>
            </w:r>
            <w:r>
              <w:rPr>
                <w:rStyle w:val="1121"/>
                <w:rFonts w:hint="eastAsia" w:ascii="宋体" w:hAnsi="宋体" w:eastAsia="宋体" w:cs="宋体"/>
                <w:color w:val="auto"/>
                <w:highlight w:val="none"/>
                <w:lang w:val="en-US" w:eastAsia="zh-CN" w:bidi="ar"/>
              </w:rPr>
              <w:t xml:space="preserve">4.支持文件格式-SONY XAVCAM (Intra/ Long GOP)/XAVC S, Panasonic AVC-Ultra/AVC-Intra 4K 422及Canon XF-AVC(仅输入)</w:t>
            </w:r>
            <w:r>
              <w:rPr>
                <w:rStyle w:val="1121"/>
                <w:rFonts w:hint="eastAsia" w:ascii="宋体" w:hAnsi="宋体" w:eastAsia="宋体" w:cs="宋体"/>
                <w:color w:val="auto"/>
                <w:highlight w:val="none"/>
                <w:lang w:val="en-US" w:eastAsia="zh-CN" w:bidi="ar"/>
              </w:rPr>
              <w:br/>
            </w:r>
            <w:r>
              <w:rPr>
                <w:rStyle w:val="1121"/>
                <w:rFonts w:hint="eastAsia" w:ascii="宋体" w:hAnsi="宋体" w:eastAsia="宋体" w:cs="宋体"/>
                <w:color w:val="auto"/>
                <w:highlight w:val="none"/>
                <w:lang w:val="en-US" w:eastAsia="zh-CN" w:bidi="ar"/>
              </w:rPr>
              <w:t xml:space="preserve">5.源码编辑多种视频格式，包括: SONY XDCAM, Panasonic P2, Ikegami GF, RED, Canon XF 和 EOS 电影格式</w:t>
            </w:r>
            <w:r>
              <w:rPr>
                <w:rStyle w:val="1121"/>
                <w:rFonts w:hint="eastAsia" w:ascii="宋体" w:hAnsi="宋体" w:eastAsia="宋体" w:cs="宋体"/>
                <w:color w:val="auto"/>
                <w:highlight w:val="none"/>
                <w:lang w:val="en-US" w:eastAsia="zh-CN" w:bidi="ar"/>
              </w:rPr>
              <w:br/>
            </w:r>
            <w:r>
              <w:rPr>
                <w:rStyle w:val="1121"/>
                <w:rFonts w:hint="eastAsia" w:ascii="宋体" w:hAnsi="宋体" w:eastAsia="宋体" w:cs="宋体"/>
                <w:color w:val="auto"/>
                <w:highlight w:val="none"/>
                <w:lang w:val="en-US" w:eastAsia="zh-CN" w:bidi="ar"/>
              </w:rPr>
              <w:t xml:space="preserve">6.当前最快的AVCHD编辑速度，可做到3层以上实时编辑</w:t>
            </w:r>
            <w:r>
              <w:rPr>
                <w:rStyle w:val="1121"/>
                <w:rFonts w:hint="eastAsia" w:ascii="宋体" w:hAnsi="宋体" w:eastAsia="宋体" w:cs="宋体"/>
                <w:color w:val="auto"/>
                <w:highlight w:val="none"/>
                <w:lang w:val="en-US" w:eastAsia="zh-CN" w:bidi="ar"/>
              </w:rPr>
              <w:br/>
            </w:r>
            <w:r>
              <w:rPr>
                <w:rStyle w:val="1121"/>
                <w:rFonts w:hint="eastAsia" w:ascii="宋体" w:hAnsi="宋体" w:eastAsia="宋体" w:cs="宋体"/>
                <w:color w:val="auto"/>
                <w:highlight w:val="none"/>
                <w:lang w:val="en-US" w:eastAsia="zh-CN" w:bidi="ar"/>
              </w:rPr>
              <w:t xml:space="preserve">7.多达16机位的多机位编辑能力，并可实时进行视频输出</w:t>
            </w:r>
            <w:r>
              <w:rPr>
                <w:rStyle w:val="1121"/>
                <w:rFonts w:hint="eastAsia" w:ascii="宋体" w:hAnsi="宋体" w:eastAsia="宋体" w:cs="宋体"/>
                <w:color w:val="auto"/>
                <w:highlight w:val="none"/>
                <w:lang w:val="en-US" w:eastAsia="zh-CN" w:bidi="ar"/>
              </w:rPr>
              <w:br/>
            </w:r>
            <w:r>
              <w:rPr>
                <w:rStyle w:val="1121"/>
                <w:rFonts w:hint="eastAsia" w:ascii="宋体" w:hAnsi="宋体" w:eastAsia="宋体" w:cs="宋体"/>
                <w:color w:val="auto"/>
                <w:highlight w:val="none"/>
                <w:lang w:val="en-US" w:eastAsia="zh-CN" w:bidi="ar"/>
              </w:rPr>
              <w:t xml:space="preserve">8.增强的MPEG和264/AVC编解码能力（可对4K XAVC进行快速编码）,支持更快的4K H.264回放</w:t>
            </w:r>
            <w:r>
              <w:rPr>
                <w:rStyle w:val="1121"/>
                <w:rFonts w:hint="eastAsia" w:ascii="宋体" w:hAnsi="宋体" w:eastAsia="宋体" w:cs="宋体"/>
                <w:color w:val="auto"/>
                <w:highlight w:val="none"/>
                <w:lang w:val="en-US" w:eastAsia="zh-CN" w:bidi="ar"/>
              </w:rPr>
              <w:br/>
            </w:r>
            <w:r>
              <w:rPr>
                <w:rStyle w:val="1121"/>
                <w:rFonts w:hint="eastAsia" w:ascii="宋体" w:hAnsi="宋体" w:eastAsia="宋体" w:cs="宋体"/>
                <w:color w:val="auto"/>
                <w:highlight w:val="none"/>
                <w:lang w:val="en-US" w:eastAsia="zh-CN" w:bidi="ar"/>
              </w:rPr>
              <w:t xml:space="preserve">9.基于第四代Intel酷睿架构的优化，支持Intel Quick Sync Video极速264输出（用于蓝光刻录）</w:t>
            </w:r>
            <w:r>
              <w:rPr>
                <w:rStyle w:val="1121"/>
                <w:rFonts w:hint="eastAsia" w:ascii="宋体" w:hAnsi="宋体" w:eastAsia="宋体" w:cs="宋体"/>
                <w:color w:val="auto"/>
                <w:highlight w:val="none"/>
                <w:lang w:val="en-US" w:eastAsia="zh-CN" w:bidi="ar"/>
              </w:rPr>
              <w:br/>
            </w:r>
            <w:r>
              <w:rPr>
                <w:rStyle w:val="1121"/>
                <w:rFonts w:hint="eastAsia" w:ascii="宋体" w:hAnsi="宋体" w:eastAsia="宋体" w:cs="宋体"/>
                <w:color w:val="auto"/>
                <w:highlight w:val="none"/>
                <w:lang w:val="en-US" w:eastAsia="zh-CN" w:bidi="ar"/>
              </w:rPr>
              <w:t xml:space="preserve">10.64位本地处理，快速处理海量静态图像文件（JPG, TGA, DPX等），提供更流畅的实时编辑</w:t>
            </w:r>
            <w:r>
              <w:rPr>
                <w:rStyle w:val="1121"/>
                <w:rFonts w:hint="eastAsia" w:ascii="宋体" w:hAnsi="宋体" w:eastAsia="宋体" w:cs="宋体"/>
                <w:color w:val="auto"/>
                <w:highlight w:val="none"/>
                <w:lang w:val="en-US" w:eastAsia="zh-CN" w:bidi="ar"/>
              </w:rPr>
              <w:br/>
            </w:r>
            <w:r>
              <w:rPr>
                <w:rStyle w:val="1121"/>
                <w:rFonts w:hint="eastAsia" w:ascii="宋体" w:hAnsi="宋体" w:eastAsia="宋体" w:cs="宋体"/>
                <w:color w:val="auto"/>
                <w:highlight w:val="none"/>
                <w:lang w:val="en-US" w:eastAsia="zh-CN" w:bidi="ar"/>
              </w:rPr>
              <w:t xml:space="preserve">11.支持代理模式，增强PC处理能力，提高工作效率</w:t>
            </w:r>
            <w:r>
              <w:rPr>
                <w:rStyle w:val="1121"/>
                <w:rFonts w:hint="eastAsia" w:ascii="宋体" w:hAnsi="宋体" w:eastAsia="宋体" w:cs="宋体"/>
                <w:color w:val="auto"/>
                <w:highlight w:val="none"/>
                <w:lang w:val="en-US" w:eastAsia="zh-CN" w:bidi="ar"/>
              </w:rPr>
              <w:br/>
            </w:r>
            <w:r>
              <w:rPr>
                <w:rStyle w:val="1121"/>
                <w:rFonts w:hint="eastAsia" w:ascii="宋体" w:hAnsi="宋体" w:eastAsia="宋体" w:cs="宋体"/>
                <w:color w:val="auto"/>
                <w:highlight w:val="none"/>
                <w:lang w:val="en-US" w:eastAsia="zh-CN" w:bidi="ar"/>
              </w:rPr>
              <w:t xml:space="preserve">12.灵活的用户界面，包括：无限的视频、音频、字幕和图文轨道</w:t>
            </w:r>
            <w:r>
              <w:rPr>
                <w:rStyle w:val="1121"/>
                <w:rFonts w:hint="eastAsia" w:ascii="宋体" w:hAnsi="宋体" w:eastAsia="宋体" w:cs="宋体"/>
                <w:color w:val="auto"/>
                <w:highlight w:val="none"/>
                <w:lang w:val="en-US" w:eastAsia="zh-CN" w:bidi="ar"/>
              </w:rPr>
              <w:br/>
            </w:r>
            <w:r>
              <w:rPr>
                <w:rStyle w:val="1121"/>
                <w:rFonts w:hint="eastAsia" w:ascii="宋体" w:hAnsi="宋体" w:eastAsia="宋体" w:cs="宋体"/>
                <w:color w:val="auto"/>
                <w:highlight w:val="none"/>
                <w:lang w:val="en-US" w:eastAsia="zh-CN" w:bidi="ar"/>
              </w:rPr>
              <w:t xml:space="preserve">13.支持3D立体编辑、内置图像稳定器，并可从时间线上直接刻录蓝光、DVD</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r>
      <w:tr>
        <w:trPr>
          <w:jc w:val="center"/>
          <w:trHeight w:val="1800"/>
        </w:trPr>
        <w:tc>
          <w:tcPr>
            <w:shd w:val="clear" w:color="auto" w:fill="auto"/>
            <w:tcBorders>
              <w:top w:val="none" w:color="000000" w:sz="4" w:space="0"/>
              <w:left w:val="single" w:color="000000" w:sz="4" w:space="0"/>
              <w:bottom w:val="single" w:color="000000" w:sz="4" w:space="0"/>
              <w:right w:val="single" w:color="000000" w:sz="4" w:space="0"/>
            </w:tcBorders>
            <w:tcW w:w="81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非编工作站</w:t>
            </w:r>
            <w:r/>
          </w:p>
        </w:tc>
        <w:tc>
          <w:tcPr>
            <w:shd w:val="clear" w:color="auto" w:fill="auto"/>
            <w:tcBorders>
              <w:top w:val="single" w:color="000000" w:sz="4" w:space="0"/>
              <w:left w:val="single" w:color="000000" w:sz="4" w:space="0"/>
              <w:bottom w:val="single" w:color="000000" w:sz="4" w:space="0"/>
              <w:right w:val="single" w:color="000000" w:sz="4" w:space="0"/>
            </w:tcBorders>
            <w:tcW w:w="6463"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非编工作站不低于以下硬件环境</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CPU：主频处理器基本频率2.90 GHz，最大睿频频率4.8GHz，缓存16MB，8核 16线程；</w:t>
            </w:r>
            <w:r/>
          </w:p>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主板：双M.2内存插槽；</w:t>
            </w:r>
            <w:r/>
          </w:p>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内存：4*4G；</w:t>
            </w:r>
            <w:r/>
          </w:p>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显卡：核心：896；GPU显存：8G；显存带宽：160GB/s；</w:t>
            </w:r>
            <w:r/>
          </w:p>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硬盘：7200rpm SATA 1000G+固态硬盘250G；</w:t>
            </w:r>
            <w:r/>
          </w:p>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广播级高清视频板卡：</w:t>
            </w:r>
            <w:r/>
          </w:p>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机箱：4U机箱；</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r>
      <w:tr>
        <w:trPr>
          <w:jc w:val="center"/>
          <w:trHeight w:val="270"/>
        </w:trPr>
        <w:tc>
          <w:tcPr>
            <w:gridSpan w:val="5"/>
            <w:shd w:val="clear" w:color="auto" w:fill="auto"/>
            <w:tcBorders>
              <w:top w:val="single" w:color="000000" w:sz="4" w:space="0"/>
              <w:left w:val="single" w:color="000000" w:sz="4" w:space="0"/>
              <w:bottom w:val="single" w:color="000000" w:sz="4" w:space="0"/>
              <w:right w:val="none" w:color="000000" w:sz="4" w:space="0"/>
            </w:tcBorders>
            <w:tcW w:w="10082" w:type="dxa"/>
            <w:vAlign w:val="center"/>
            <w:textDirection w:val="lrTb"/>
            <w:noWrap/>
          </w:tcPr>
          <w:p>
            <w:pPr>
              <w:ind w:firstLine="0"/>
              <w:jc w:val="left"/>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二、周边设备</w:t>
            </w:r>
            <w:r/>
          </w:p>
        </w:tc>
      </w:tr>
      <w:tr>
        <w:trPr>
          <w:jc w:val="center"/>
          <w:trHeight w:val="2925"/>
        </w:trPr>
        <w:tc>
          <w:tcPr>
            <w:shd w:val="clear" w:color="auto" w:fill="auto"/>
            <w:tcBorders>
              <w:top w:val="none" w:color="000000" w:sz="4" w:space="0"/>
              <w:left w:val="single" w:color="000000" w:sz="4" w:space="0"/>
              <w:bottom w:val="single" w:color="000000" w:sz="4" w:space="0"/>
              <w:right w:val="single" w:color="000000" w:sz="4" w:space="0"/>
            </w:tcBorders>
            <w:tcW w:w="81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4K摄像机</w:t>
            </w:r>
            <w:r/>
          </w:p>
        </w:tc>
        <w:tc>
          <w:tcPr>
            <w:shd w:val="clear" w:color="auto" w:fill="auto"/>
            <w:tcBorders>
              <w:top w:val="single" w:color="000000" w:sz="4" w:space="0"/>
              <w:left w:val="single" w:color="000000" w:sz="4" w:space="0"/>
              <w:bottom w:val="single" w:color="000000" w:sz="4" w:space="0"/>
              <w:right w:val="single" w:color="000000" w:sz="4" w:space="0"/>
            </w:tcBorders>
            <w:tcW w:w="6463"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产品类型：4K摄像机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传感器尺寸：1英寸（13.2×8.8mm）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最大像素：2000万</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有效像素：1420万</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光学变焦：12倍</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麦克风内置全指向立体声驻极体电容麦克风</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SDI输出：BNC(x1)，3G/HD/SD SMPTE ST 424/ST 292-1/ST 259 标准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HDMI接口：支持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音频输入：XLR型3针（母头）(x2)，线路/麦克风/麦克风 +48 V 可选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存储介质：MS/SD，SD</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远程控制：立体声迷你插孔（直径2.5mm）</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r>
      <w:tr>
        <w:trPr>
          <w:jc w:val="center"/>
          <w:trHeight w:val="9560"/>
        </w:trPr>
        <w:tc>
          <w:tcPr>
            <w:shd w:val="clear" w:color="auto" w:fill="auto"/>
            <w:tcBorders>
              <w:top w:val="none" w:color="000000" w:sz="4" w:space="0"/>
              <w:left w:val="single" w:color="000000" w:sz="4" w:space="0"/>
              <w:bottom w:val="single" w:color="000000" w:sz="4" w:space="0"/>
              <w:right w:val="single" w:color="000000" w:sz="4" w:space="0"/>
            </w:tcBorders>
            <w:tcW w:w="81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双屏提词器</w:t>
            </w:r>
            <w:r/>
          </w:p>
        </w:tc>
        <w:tc>
          <w:tcPr>
            <w:shd w:val="clear" w:color="auto" w:fill="auto"/>
            <w:tcBorders>
              <w:top w:val="single" w:color="000000" w:sz="4" w:space="0"/>
              <w:left w:val="single" w:color="000000" w:sz="4" w:space="0"/>
              <w:bottom w:val="single" w:color="000000" w:sz="4" w:space="0"/>
              <w:right w:val="single" w:color="000000" w:sz="4" w:space="0"/>
            </w:tcBorders>
            <w:tcW w:w="6463"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智能型提词器，采用企业级高效内嵌微型主机，采用ATX系列主板，INTEL专业cpu，2g内存，32g高速msata企业版硬盘，自带集成镜像模式，广泛支持图片、视频、网页、ppt、word等格式，实现所见即所得。</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搭配提词器专用无线遥控器，可轻松控制文稿的暂停与播放。操作简单，整体模块化设计，使用方便.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主要参数：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1.文稿录入、编辑方便，操作简单，自动完成排版，支持txt、word等格式文本</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2.无需另行采购提词器电脑，可直接打开图片，word，ppt，视频，网页等文件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3.具有一个高速网口，支持通过有线联网安装软件，从而实现钉钉直播、微信互动等交互功能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 拥有不少于四个usb口，支持从U盘导入演讲文档，支持利用高拍仪直接导入扫描文档，并支持鼠标键盘控制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5.无需导播间专人配合，所有操作主持人通过无线遥控即可轻松完成，并且需支持暂停、播放、加速、翻页等功能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 支持usb一键升级提词器系统，体验最新功能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7.提词器文稿屏亮度为250cd/m²，拥有一个hdmi接口，可以输出提词器文稿屏画面至导播间监看，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8.提词器软件支持汉、藏、蒙、傣、维、朝鲜等少数民族语言。而且还支持国外的一些语言英、日、韩、德、俄、法、阿拉伯文等国家语言。自带镜像功能，视觉清晰，字迹平稳：图象鲜艳，分辨率高，字符大、亮度高、画面平滑、无抖动，操作简便,功能齐全，视距大于2.5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9.提词器软件支持中英文操作平台，自带镜像功能、男女播音员可分别选择不同的背景色和字色方便男女播音员选择自己的播音词，字体和字的大小任意选择，可选多种角色，以区分男角女角或更多播音角色。支持滚动速度任意调整、翻页；字号、字体任意设置，字色、背景色任意搭配等功能。软件控制方式多样化，键盘、鼠标、遥控器、脚踏板、遥控手柄均可</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10.提词器软件需提供软件著作权证书</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11.提词器整体结构为CNC数控加工成型，强度高，坚固结实、耐磕碰、防静电.整体模块化设计,安装简单</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12.摄像机承托架结构为铝材数控一次挤出成型，固定支架可前后滑动，带卡锁弹簧装置和定位固定装置摄像机滑道为航空型材滑道,轻便耐用,一体化设计,能与各种摄像机和三脚架固定使用,拆装简便.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13.提词器单面反光玻璃支架为铝型材数控加工支架，遮光罩为一次模压成型工程环保塑壳，重量轻，结构不变形，提词器显示屏可上下位置调整，前后滑动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14.提词器三脚架：带水平调整仪和伸缩手柄,液压云台,延伸高度可调,俯仰摇移可调,平稳顺滑的操控,动态平稳,承重10Kg,含万向脚轮,带自锁。支撑高度1.2—2.2M可调节                                               </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r>
      <w:tr>
        <w:trPr>
          <w:jc w:val="center"/>
          <w:trHeight w:val="2250"/>
        </w:trPr>
        <w:tc>
          <w:tcPr>
            <w:shd w:val="clear" w:color="auto" w:fill="auto"/>
            <w:tcBorders>
              <w:top w:val="none" w:color="000000" w:sz="4" w:space="0"/>
              <w:left w:val="single" w:color="000000" w:sz="4" w:space="0"/>
              <w:bottom w:val="single" w:color="000000" w:sz="4" w:space="0"/>
              <w:right w:val="single" w:color="000000" w:sz="4" w:space="0"/>
            </w:tcBorders>
            <w:tcW w:w="81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高清回监显示屏</w:t>
            </w:r>
            <w:r/>
          </w:p>
        </w:tc>
        <w:tc>
          <w:tcPr>
            <w:shd w:val="clear" w:color="auto" w:fill="auto"/>
            <w:tcBorders>
              <w:top w:val="single" w:color="000000" w:sz="4" w:space="0"/>
              <w:left w:val="single" w:color="000000" w:sz="4" w:space="0"/>
              <w:bottom w:val="single" w:color="000000" w:sz="4" w:space="0"/>
              <w:right w:val="single" w:color="000000" w:sz="4" w:space="0"/>
            </w:tcBorders>
            <w:tcW w:w="6463"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55英寸全高清液晶监看电视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屏幕分辨率:4k超高清（3840×2160P）</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屏幕比例:16:9</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刷屏率:60HZ</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CPU：Cortex A53 四核 1.5GHz</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GPU：Mali-450 750MHz</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运行内存：2GB</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存储内存：8GB</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扬声器数量：2X8W</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移动支架</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r>
      <w:tr>
        <w:trPr>
          <w:jc w:val="center"/>
          <w:trHeight w:val="5086"/>
        </w:trPr>
        <w:tc>
          <w:tcPr>
            <w:shd w:val="clear" w:color="auto" w:fill="auto"/>
            <w:tcBorders>
              <w:top w:val="none" w:color="000000" w:sz="4" w:space="0"/>
              <w:left w:val="single" w:color="000000" w:sz="4" w:space="0"/>
              <w:bottom w:val="single" w:color="000000" w:sz="4" w:space="0"/>
              <w:right w:val="single" w:color="000000" w:sz="4" w:space="0"/>
            </w:tcBorders>
            <w:tcW w:w="81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无线领夹麦克风</w:t>
            </w:r>
            <w:r/>
          </w:p>
        </w:tc>
        <w:tc>
          <w:tcPr>
            <w:shd w:val="clear" w:color="auto" w:fill="auto"/>
            <w:tcBorders>
              <w:top w:val="single" w:color="000000" w:sz="4" w:space="0"/>
              <w:left w:val="single" w:color="000000" w:sz="4" w:space="0"/>
              <w:bottom w:val="single" w:color="000000" w:sz="4" w:space="0"/>
              <w:right w:val="single" w:color="000000" w:sz="4" w:space="0"/>
            </w:tcBorders>
            <w:tcW w:w="6463"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主要参数：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麦克风</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频率范围：730～830MHz</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可调信道数：138+138</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频率稳定性：±10ppm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调制方式：FM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射频功率：≤10mW</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音频频响：40~18000Hz</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失真度：≤0.5%</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接收机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频率范围：730～830 MHz</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可调信道数：138+138</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振荡方式：锁相环（PLL）频率合成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频率稳定性：±10ppm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接收方式：超外差二次变频</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接收灵敏度：-95～-75dBm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音频频响 40～18000Hz</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失真度：≤0.5%</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信噪比：≥110dB</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音频输出：（XLR）卡侬座独立平衡输出和Ф6.35插座混合不平衡输出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电源规格：100V～240V/50～60Hz</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消耗功率：≤8W</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r>
      <w:tr>
        <w:trPr>
          <w:jc w:val="center"/>
          <w:trHeight w:val="270"/>
        </w:trPr>
        <w:tc>
          <w:tcPr>
            <w:shd w:val="clear" w:color="auto" w:fill="auto"/>
            <w:tcBorders>
              <w:top w:val="none" w:color="000000" w:sz="4" w:space="0"/>
              <w:left w:val="single" w:color="000000" w:sz="4" w:space="0"/>
              <w:bottom w:val="single" w:color="000000" w:sz="4" w:space="0"/>
              <w:right w:val="single" w:color="000000" w:sz="4" w:space="0"/>
            </w:tcBorders>
            <w:tcW w:w="81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专业演播桌</w:t>
            </w:r>
            <w:r/>
          </w:p>
        </w:tc>
        <w:tc>
          <w:tcPr>
            <w:shd w:val="clear" w:color="auto" w:fill="auto"/>
            <w:tcBorders>
              <w:top w:val="single" w:color="000000" w:sz="4" w:space="0"/>
              <w:left w:val="single" w:color="000000" w:sz="4" w:space="0"/>
              <w:bottom w:val="single" w:color="000000" w:sz="4" w:space="0"/>
              <w:right w:val="single" w:color="000000" w:sz="4" w:space="0"/>
            </w:tcBorders>
            <w:tcW w:w="6463"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标准两主持人位演播台，定制</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r>
      <w:tr>
        <w:trPr>
          <w:jc w:val="center"/>
          <w:trHeight w:val="270"/>
        </w:trPr>
        <w:tc>
          <w:tcPr>
            <w:shd w:val="clear" w:color="auto" w:fill="auto"/>
            <w:tcBorders>
              <w:top w:val="none" w:color="000000" w:sz="4" w:space="0"/>
              <w:left w:val="single" w:color="000000" w:sz="4" w:space="0"/>
              <w:bottom w:val="single" w:color="000000" w:sz="4" w:space="0"/>
              <w:right w:val="single" w:color="000000" w:sz="4" w:space="0"/>
            </w:tcBorders>
            <w:tcW w:w="81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操作台</w:t>
            </w:r>
            <w:r/>
          </w:p>
        </w:tc>
        <w:tc>
          <w:tcPr>
            <w:shd w:val="clear" w:color="auto" w:fill="auto"/>
            <w:tcBorders>
              <w:top w:val="single" w:color="000000" w:sz="4" w:space="0"/>
              <w:left w:val="single" w:color="000000" w:sz="4" w:space="0"/>
              <w:bottom w:val="single" w:color="000000" w:sz="4" w:space="0"/>
              <w:right w:val="single" w:color="000000" w:sz="4" w:space="0"/>
            </w:tcBorders>
            <w:tcW w:w="6463"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L型操作台，定制；</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r>
      <w:tr>
        <w:trPr>
          <w:jc w:val="center"/>
          <w:trHeight w:val="270"/>
        </w:trPr>
        <w:tc>
          <w:tcPr>
            <w:shd w:val="clear" w:color="auto" w:fill="auto"/>
            <w:tcBorders>
              <w:top w:val="none" w:color="000000" w:sz="4" w:space="0"/>
              <w:left w:val="single" w:color="000000" w:sz="4" w:space="0"/>
              <w:bottom w:val="single" w:color="000000" w:sz="4" w:space="0"/>
              <w:right w:val="single" w:color="000000" w:sz="4" w:space="0"/>
            </w:tcBorders>
            <w:tcW w:w="81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电脑椅</w:t>
            </w:r>
            <w:r/>
          </w:p>
        </w:tc>
        <w:tc>
          <w:tcPr>
            <w:shd w:val="clear" w:color="auto" w:fill="auto"/>
            <w:tcBorders>
              <w:top w:val="single" w:color="000000" w:sz="4" w:space="0"/>
              <w:left w:val="single" w:color="000000" w:sz="4" w:space="0"/>
              <w:bottom w:val="single" w:color="000000" w:sz="4" w:space="0"/>
              <w:right w:val="single" w:color="000000" w:sz="4" w:space="0"/>
            </w:tcBorders>
            <w:tcW w:w="6463"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固定扶手，钢制脚，气压升降，可旋转；</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jc w:val="center"/>
          <w:trHeight w:val="1800"/>
        </w:trPr>
        <w:tc>
          <w:tcPr>
            <w:shd w:val="clear" w:color="auto" w:fill="auto"/>
            <w:tcBorders>
              <w:top w:val="none" w:color="000000" w:sz="4" w:space="0"/>
              <w:left w:val="single" w:color="000000" w:sz="4" w:space="0"/>
              <w:bottom w:val="single" w:color="000000" w:sz="4" w:space="0"/>
              <w:right w:val="single" w:color="000000" w:sz="4" w:space="0"/>
            </w:tcBorders>
            <w:tcW w:w="81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高清显示器</w:t>
            </w:r>
            <w:r/>
          </w:p>
        </w:tc>
        <w:tc>
          <w:tcPr>
            <w:shd w:val="clear" w:color="auto" w:fill="auto"/>
            <w:tcBorders>
              <w:top w:val="single" w:color="000000" w:sz="4" w:space="0"/>
              <w:left w:val="single" w:color="000000" w:sz="4" w:space="0"/>
              <w:bottom w:val="single" w:color="000000" w:sz="4" w:space="0"/>
              <w:right w:val="single" w:color="000000" w:sz="4" w:space="0"/>
            </w:tcBorders>
            <w:tcW w:w="6463"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尺寸：23.8英寸</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显示亮度250cd/m2（典型值）</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点距0.3114(H) x 0.3114(V)mm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色数16.7M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外接电源适配器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接口VGA 1个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音频/耳机输出 1个</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HDMI 1个</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r>
      <w:tr>
        <w:trPr>
          <w:jc w:val="center"/>
          <w:trHeight w:val="2925"/>
        </w:trPr>
        <w:tc>
          <w:tcPr>
            <w:shd w:val="clear" w:color="auto" w:fill="auto"/>
            <w:tcBorders>
              <w:top w:val="none" w:color="000000" w:sz="4" w:space="0"/>
              <w:left w:val="single" w:color="000000" w:sz="4" w:space="0"/>
              <w:bottom w:val="single" w:color="000000" w:sz="4" w:space="0"/>
              <w:right w:val="single" w:color="000000" w:sz="4" w:space="0"/>
            </w:tcBorders>
            <w:tcW w:w="81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调音台</w:t>
            </w:r>
            <w:r/>
          </w:p>
        </w:tc>
        <w:tc>
          <w:tcPr>
            <w:shd w:val="clear" w:color="auto" w:fill="auto"/>
            <w:tcBorders>
              <w:top w:val="single" w:color="000000" w:sz="4" w:space="0"/>
              <w:left w:val="single" w:color="000000" w:sz="4" w:space="0"/>
              <w:bottom w:val="single" w:color="000000" w:sz="4" w:space="0"/>
              <w:right w:val="single" w:color="000000" w:sz="4" w:space="0"/>
            </w:tcBorders>
            <w:tcW w:w="6463"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话筒：4</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频响：+0.5dB/-0.5dB（20Hz-20kHz）</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总谐波失真：0.02%@+14dBu（20 Hz-20kHz）</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输入通道：10通道：单声道：4；立体声：3</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输出通道：STEREO OUT：2；PHONES：1</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母线：立体声：1，AUX[FX]，1</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USB音频：USB音频2.0兼容 采样率：最大192kHz，Bit深度：24-bit</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幻象电源电压：+48V</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内建数字效果：24编程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外观尺寸：244×71×294mm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功耗：22.9W</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操作温度：0-40℃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净重：2.1kg</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r>
      <w:tr>
        <w:trPr>
          <w:jc w:val="center"/>
          <w:trHeight w:val="2250"/>
        </w:trPr>
        <w:tc>
          <w:tcPr>
            <w:shd w:val="clear" w:color="auto" w:fill="auto"/>
            <w:tcBorders>
              <w:top w:val="none" w:color="000000" w:sz="4" w:space="0"/>
              <w:left w:val="single" w:color="000000" w:sz="4" w:space="0"/>
              <w:bottom w:val="single" w:color="000000" w:sz="4" w:space="0"/>
              <w:right w:val="single" w:color="000000" w:sz="4" w:space="0"/>
            </w:tcBorders>
            <w:tcW w:w="81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监听音箱</w:t>
            </w:r>
            <w:r/>
          </w:p>
        </w:tc>
        <w:tc>
          <w:tcPr>
            <w:shd w:val="clear" w:color="auto" w:fill="auto"/>
            <w:tcBorders>
              <w:top w:val="single" w:color="000000" w:sz="4" w:space="0"/>
              <w:left w:val="single" w:color="000000" w:sz="4" w:space="0"/>
              <w:bottom w:val="single" w:color="000000" w:sz="4" w:space="0"/>
              <w:right w:val="single" w:color="000000" w:sz="4" w:space="0"/>
            </w:tcBorders>
            <w:tcW w:w="6463"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音箱系统：2.0声道</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有源无源：有源</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调节方式：旋纽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供电方式电源：220V/50Hz</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额定功率：16W</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频率响应：20Hz-20KHz</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信噪比：80dB</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灵敏度：360mV</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失真度：0.2% 1W 1KHz</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阻抗：8Ω</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对</w:t>
            </w:r>
            <w:r/>
          </w:p>
        </w:tc>
      </w:tr>
      <w:tr>
        <w:trPr>
          <w:jc w:val="center"/>
          <w:trHeight w:val="270"/>
        </w:trPr>
        <w:tc>
          <w:tcPr>
            <w:shd w:val="clear" w:color="auto" w:fill="auto"/>
            <w:tcBorders>
              <w:top w:val="none" w:color="000000" w:sz="4" w:space="0"/>
              <w:left w:val="single" w:color="000000" w:sz="4" w:space="0"/>
              <w:bottom w:val="single" w:color="000000" w:sz="4" w:space="0"/>
              <w:right w:val="single" w:color="000000" w:sz="4" w:space="0"/>
            </w:tcBorders>
            <w:tcW w:w="81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广电高清转换器</w:t>
            </w:r>
            <w:r/>
          </w:p>
        </w:tc>
        <w:tc>
          <w:tcPr>
            <w:shd w:val="clear" w:color="auto" w:fill="auto"/>
            <w:tcBorders>
              <w:top w:val="single" w:color="000000" w:sz="4" w:space="0"/>
              <w:left w:val="single" w:color="000000" w:sz="4" w:space="0"/>
              <w:bottom w:val="single" w:color="000000" w:sz="4" w:space="0"/>
              <w:right w:val="single" w:color="000000" w:sz="4" w:space="0"/>
            </w:tcBorders>
            <w:tcW w:w="6463"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SDI转HDMI</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r>
      <w:tr>
        <w:trPr>
          <w:jc w:val="center"/>
          <w:trHeight w:val="270"/>
        </w:trPr>
        <w:tc>
          <w:tcPr>
            <w:shd w:val="clear" w:color="auto" w:fill="auto"/>
            <w:tcBorders>
              <w:top w:val="none" w:color="000000" w:sz="4" w:space="0"/>
              <w:left w:val="single" w:color="000000" w:sz="4" w:space="0"/>
              <w:bottom w:val="single" w:color="000000" w:sz="4" w:space="0"/>
              <w:right w:val="single" w:color="000000" w:sz="4" w:space="0"/>
            </w:tcBorders>
            <w:tcW w:w="81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鼠键套装</w:t>
            </w:r>
            <w:r/>
          </w:p>
        </w:tc>
        <w:tc>
          <w:tcPr>
            <w:shd w:val="clear" w:color="auto" w:fill="auto"/>
            <w:tcBorders>
              <w:top w:val="single" w:color="000000" w:sz="4" w:space="0"/>
              <w:left w:val="single" w:color="000000" w:sz="4" w:space="0"/>
              <w:bottom w:val="single" w:color="000000" w:sz="4" w:space="0"/>
              <w:right w:val="single" w:color="000000" w:sz="4" w:space="0"/>
            </w:tcBorders>
            <w:tcW w:w="6463"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鼠键套装</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r>
      <w:tr>
        <w:trPr>
          <w:jc w:val="center"/>
          <w:trHeight w:val="270"/>
        </w:trPr>
        <w:tc>
          <w:tcPr>
            <w:gridSpan w:val="5"/>
            <w:shd w:val="clear" w:color="auto" w:fill="auto"/>
            <w:tcBorders>
              <w:top w:val="single" w:color="000000" w:sz="4" w:space="0"/>
              <w:left w:val="single" w:color="000000" w:sz="4" w:space="0"/>
              <w:bottom w:val="single" w:color="000000" w:sz="4" w:space="0"/>
              <w:right w:val="none" w:color="000000" w:sz="4" w:space="0"/>
            </w:tcBorders>
            <w:tcW w:w="10082" w:type="dxa"/>
            <w:vAlign w:val="center"/>
            <w:textDirection w:val="lrTb"/>
            <w:noWrap/>
          </w:tcPr>
          <w:p>
            <w:pPr>
              <w:ind w:firstLine="0"/>
              <w:jc w:val="left"/>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三、蓝箱、灯光</w:t>
            </w:r>
            <w:r/>
          </w:p>
        </w:tc>
      </w:tr>
      <w:tr>
        <w:trPr>
          <w:jc w:val="center"/>
          <w:trHeight w:val="900"/>
        </w:trPr>
        <w:tc>
          <w:tcPr>
            <w:shd w:val="clear" w:color="auto" w:fill="auto"/>
            <w:tcBorders>
              <w:top w:val="none" w:color="000000" w:sz="4" w:space="0"/>
              <w:left w:val="single" w:color="000000" w:sz="4" w:space="0"/>
              <w:bottom w:val="single" w:color="000000" w:sz="4" w:space="0"/>
              <w:right w:val="single" w:color="000000" w:sz="4" w:space="0"/>
            </w:tcBorders>
            <w:tcW w:w="81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蓝箱</w:t>
            </w:r>
            <w:r/>
          </w:p>
        </w:tc>
        <w:tc>
          <w:tcPr>
            <w:shd w:val="clear" w:color="auto" w:fill="auto"/>
            <w:tcBorders>
              <w:top w:val="single" w:color="000000" w:sz="4" w:space="0"/>
              <w:left w:val="single" w:color="000000" w:sz="4" w:space="0"/>
              <w:bottom w:val="single" w:color="000000" w:sz="4" w:space="0"/>
              <w:right w:val="single" w:color="000000" w:sz="4" w:space="0"/>
            </w:tcBorders>
            <w:tcW w:w="6463"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底层铺设2440*1220*5mm难燃木工板，于结构框架、地面、后墙面、侧主面部分边长为优质板材连接，各个拐角面用半径为50cm的弧形板连接，蓝箱表面做防开裂处理，≥两层腻子打底，最后刷进口影视蓝漆手扫三遍。形成无死角、无灯光阴影的蓝箱结构。</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M²</w:t>
            </w:r>
            <w:r/>
          </w:p>
        </w:tc>
      </w:tr>
      <w:tr>
        <w:trPr>
          <w:jc w:val="center"/>
          <w:trHeight w:val="6300"/>
        </w:trPr>
        <w:tc>
          <w:tcPr>
            <w:shd w:val="clear" w:color="auto" w:fill="auto"/>
            <w:tcBorders>
              <w:top w:val="none" w:color="000000" w:sz="4" w:space="0"/>
              <w:left w:val="single" w:color="000000" w:sz="4" w:space="0"/>
              <w:bottom w:val="single" w:color="000000" w:sz="4" w:space="0"/>
              <w:right w:val="single" w:color="000000" w:sz="4" w:space="0"/>
            </w:tcBorders>
            <w:tcW w:w="81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LED平板式背部柔光灯</w:t>
            </w:r>
            <w:r/>
          </w:p>
        </w:tc>
        <w:tc>
          <w:tcPr>
            <w:shd w:val="clear" w:color="auto" w:fill="auto"/>
            <w:tcBorders>
              <w:top w:val="single" w:color="000000" w:sz="4" w:space="0"/>
              <w:left w:val="single" w:color="000000" w:sz="4" w:space="0"/>
              <w:bottom w:val="single" w:color="000000" w:sz="4" w:space="0"/>
              <w:right w:val="single" w:color="000000" w:sz="4" w:space="0"/>
            </w:tcBorders>
            <w:tcW w:w="6463"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输入电压：220VAC，50/60Hz</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额定功率：60W</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光源类型：LED贴片灯珠</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标准色温：3200K/5600K/双色温(±150K)</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显色指数：Ra值≥95％</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影视照明一致指标：TLCI(Qa)≥92；光色品质：CQS≥92；色彩真实度：Rf≥92；色彩饱和度：Rg≥95；</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光斑角度：135°（可选配格栅:45°,60°,90°）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额定寿命：50000H</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DMX通道：1CH通道，3芯XLR插座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亮度范围：0—100%无极线性调节，调光过程平滑无抖动闪烁等现象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精度等级：0-255数字调节，精度16bit，分辨率65536级，数码屏显示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照度：1400lux（1m）、350lux（2m）、150lux（3m）、80lux（4m）、40lux（5m）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调光方式：1、国际标准DMX512信号控制调光；2、主机旋钮调光；3、手机APP（可编程）调光；4、通过无线遥控器调光（可编程）</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冷却系统：铝型材散热器，表面阳极氧化处理，灯体与光源一体化设计，具有即时的散热效果。灯体与控制系统独立式设计，有效隔绝灯体温度，能保证电控系统与LED光效的稳定性和使用寿命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工作环境：-25℃—40℃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噪音范围：静音（无风扇）</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机壳材质：全铝</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自保护功能：灯具具有过温、过压、过流保护</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灯具具有防黑场功能：在失去控制信号时，能够保持最后状态（亮暗）不变，直到接收到新的信号指令</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b/>
                <w:bCs/>
                <w:i w:val="0"/>
                <w:iCs w:val="0"/>
                <w:color w:val="auto"/>
                <w:sz w:val="18"/>
                <w:szCs w:val="18"/>
                <w:highlight w:val="none"/>
                <w:u w:val="none"/>
                <w:lang w:val="en-US" w:eastAsia="zh-CN" w:bidi="ar"/>
              </w:rPr>
              <w:t xml:space="preserve">▲具有产品质量检测报告复印件并加盖投标人公章</w:t>
            </w:r>
            <w:r/>
          </w:p>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▲具有CE检测认证复印件并加盖投标人公章</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r>
      <w:tr>
        <w:trPr>
          <w:jc w:val="center"/>
          <w:trHeight w:val="4275"/>
        </w:trPr>
        <w:tc>
          <w:tcPr>
            <w:shd w:val="clear" w:color="auto" w:fill="auto"/>
            <w:tcBorders>
              <w:top w:val="none" w:color="000000" w:sz="4" w:space="0"/>
              <w:left w:val="single" w:color="000000" w:sz="4" w:space="0"/>
              <w:bottom w:val="single" w:color="000000" w:sz="4" w:space="0"/>
              <w:right w:val="single" w:color="000000" w:sz="4" w:space="0"/>
            </w:tcBorders>
            <w:tcW w:w="81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LED平板式面部柔光灯</w:t>
            </w:r>
            <w:r/>
          </w:p>
        </w:tc>
        <w:tc>
          <w:tcPr>
            <w:shd w:val="clear" w:color="auto" w:fill="auto"/>
            <w:tcBorders>
              <w:top w:val="single" w:color="000000" w:sz="4" w:space="0"/>
              <w:left w:val="single" w:color="000000" w:sz="4" w:space="0"/>
              <w:bottom w:val="single" w:color="000000" w:sz="4" w:space="0"/>
              <w:right w:val="single" w:color="000000" w:sz="4" w:space="0"/>
            </w:tcBorders>
            <w:tcW w:w="6463"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灯珠：</w:t>
            </w:r>
            <w:r>
              <w:rPr>
                <w:rFonts w:hint="eastAsia" w:ascii="宋体" w:hAnsi="宋体" w:cs="宋体"/>
                <w:i w:val="0"/>
                <w:iCs w:val="0"/>
                <w:color w:val="auto"/>
                <w:sz w:val="18"/>
                <w:szCs w:val="18"/>
                <w:highlight w:val="none"/>
                <w:u w:val="none"/>
                <w:lang w:val="en-US" w:eastAsia="zh-CN" w:bidi="ar"/>
              </w:rPr>
              <w:t xml:space="preserve">不低于</w:t>
            </w:r>
            <w:r>
              <w:rPr>
                <w:rFonts w:hint="eastAsia" w:ascii="宋体" w:hAnsi="宋体" w:eastAsia="宋体" w:cs="宋体"/>
                <w:i w:val="0"/>
                <w:iCs w:val="0"/>
                <w:color w:val="auto"/>
                <w:sz w:val="18"/>
                <w:szCs w:val="18"/>
                <w:highlight w:val="none"/>
                <w:u w:val="none"/>
                <w:lang w:val="en-US" w:eastAsia="zh-CN" w:bidi="ar"/>
              </w:rPr>
              <w:t xml:space="preserve">数量780颗，</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寿命：5万小时，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照度：</w:t>
            </w:r>
            <w:r>
              <w:rPr>
                <w:rFonts w:hint="eastAsia" w:ascii="宋体" w:hAnsi="宋体" w:cs="宋体"/>
                <w:i w:val="0"/>
                <w:iCs w:val="0"/>
                <w:color w:val="auto"/>
                <w:sz w:val="18"/>
                <w:szCs w:val="18"/>
                <w:highlight w:val="none"/>
                <w:u w:val="none"/>
                <w:lang w:val="en-US" w:eastAsia="zh-CN" w:bidi="ar"/>
              </w:rPr>
              <w:t xml:space="preserve">不低于</w:t>
            </w:r>
            <w:r>
              <w:rPr>
                <w:rFonts w:hint="eastAsia" w:ascii="宋体" w:hAnsi="宋体" w:eastAsia="宋体" w:cs="宋体"/>
                <w:i w:val="0"/>
                <w:iCs w:val="0"/>
                <w:color w:val="auto"/>
                <w:sz w:val="18"/>
                <w:szCs w:val="18"/>
                <w:highlight w:val="none"/>
                <w:u w:val="none"/>
                <w:lang w:val="en-US" w:eastAsia="zh-CN" w:bidi="ar"/>
              </w:rPr>
              <w:t xml:space="preserve">1m(4800Lux),2m(1600Lux),3m(650Lux)，</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额定功率：150W</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显色指数：Ra≥95</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色 温：5600K，±200K</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光学系统：DMX512控制，手动旋钮调光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出光角度：120°，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操作温度：-20~+50℃，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存放温度：-20~+60℃，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外壳：金属外壳，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冷却系统：自然风冷散热，</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操作：数码显示管控制地址码，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控制协议：DMX512控制，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通道模式：1个通道，</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信号线：信号线三芯卡侬头输入，信号线三芯芯卡侬座输出，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规格尺寸： 5050mm×2800mm×100mm，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输入电压：AC220V/50HZ/DC12V10A</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r>
      <w:tr>
        <w:trPr>
          <w:jc w:val="center"/>
          <w:trHeight w:val="4050"/>
        </w:trPr>
        <w:tc>
          <w:tcPr>
            <w:shd w:val="clear" w:color="auto" w:fill="auto"/>
            <w:tcBorders>
              <w:top w:val="none" w:color="000000" w:sz="4" w:space="0"/>
              <w:left w:val="single" w:color="000000" w:sz="4" w:space="0"/>
              <w:bottom w:val="single" w:color="000000" w:sz="4" w:space="0"/>
              <w:right w:val="single" w:color="000000" w:sz="4" w:space="0"/>
            </w:tcBorders>
            <w:tcW w:w="81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LED平板式顶部柔光灯</w:t>
            </w:r>
            <w:r/>
          </w:p>
        </w:tc>
        <w:tc>
          <w:tcPr>
            <w:shd w:val="clear" w:color="auto" w:fill="auto"/>
            <w:tcBorders>
              <w:top w:val="single" w:color="000000" w:sz="4" w:space="0"/>
              <w:left w:val="single" w:color="000000" w:sz="4" w:space="0"/>
              <w:bottom w:val="single" w:color="000000" w:sz="4" w:space="0"/>
              <w:right w:val="single" w:color="000000" w:sz="4" w:space="0"/>
            </w:tcBorders>
            <w:tcW w:w="6463"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额定功率：90W</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寿命：5万小时，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照度：1m(4800Lux),2m(1600Lux),3m(650Lux)，</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显色指数：Ra≥95</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色 温：5600K，±200K</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光学系统：DMX512控制，手动旋钮调光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出光角度：120°，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操作温度：-20~+50℃，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存放温度：-20~+60℃，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外壳：金属外壳，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冷却系统：自然风冷散热，</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操作：数码显示管控制地址码，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控制协议：DMX512控制，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通道模式：1个通道，</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信号线：信号线三芯卡侬头输入，信号线三芯芯卡侬座输出，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规格尺寸： 5050mm×2800mm×100mm，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输入电压：AC220V/50HZ/DC12V11A</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r>
      <w:tr>
        <w:trPr>
          <w:jc w:val="center"/>
          <w:trHeight w:val="4275"/>
        </w:trPr>
        <w:tc>
          <w:tcPr>
            <w:shd w:val="clear" w:color="auto" w:fill="auto"/>
            <w:tcBorders>
              <w:top w:val="none" w:color="000000" w:sz="4" w:space="0"/>
              <w:left w:val="single" w:color="000000" w:sz="4" w:space="0"/>
              <w:bottom w:val="single" w:color="000000" w:sz="4" w:space="0"/>
              <w:right w:val="single" w:color="000000" w:sz="4" w:space="0"/>
            </w:tcBorders>
            <w:tcW w:w="81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LED平板式侧部柔光灯</w:t>
            </w:r>
            <w:r/>
          </w:p>
        </w:tc>
        <w:tc>
          <w:tcPr>
            <w:shd w:val="clear" w:color="auto" w:fill="auto"/>
            <w:tcBorders>
              <w:top w:val="single" w:color="000000" w:sz="4" w:space="0"/>
              <w:left w:val="single" w:color="000000" w:sz="4" w:space="0"/>
              <w:bottom w:val="single" w:color="000000" w:sz="4" w:space="0"/>
              <w:right w:val="single" w:color="000000" w:sz="4" w:space="0"/>
            </w:tcBorders>
            <w:tcW w:w="6463"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灯珠：数量780颗，</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寿命：5万小时，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照度：1m(4800Lux),2m(1600Lux),3m(650Lux)，</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额定功率：150W</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显色指数：Ra≥95</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色 温：5600K，±200K</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光学系统：DMX512控制，手动旋钮调光</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出光角度：120°，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操作温度：-20~+50℃，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存放温度：-20~+60℃，</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外壳：金属外壳，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冷却系统：自然风冷散热，</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操作：数码显示管控制地址码，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控制协议：DMX512控制，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通道模式：1个通道，</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信号线：信号线三芯卡侬头输入，信号线三芯芯卡侬座输出，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规格尺寸： 5050mm×2800mm×100mm，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输入电压：AC220V/50HZ/DC12V10A</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r>
      <w:tr>
        <w:trPr>
          <w:jc w:val="center"/>
          <w:trHeight w:val="270"/>
        </w:trPr>
        <w:tc>
          <w:tcPr>
            <w:shd w:val="clear" w:color="auto" w:fill="auto"/>
            <w:tcBorders>
              <w:top w:val="none" w:color="000000" w:sz="4" w:space="0"/>
              <w:left w:val="single" w:color="000000" w:sz="4" w:space="0"/>
              <w:bottom w:val="single" w:color="000000" w:sz="4" w:space="0"/>
              <w:right w:val="single" w:color="000000" w:sz="4" w:space="0"/>
            </w:tcBorders>
            <w:tcW w:w="81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固定轨道</w:t>
            </w:r>
            <w:r/>
          </w:p>
        </w:tc>
        <w:tc>
          <w:tcPr>
            <w:shd w:val="clear" w:color="auto" w:fill="auto"/>
            <w:tcBorders>
              <w:top w:val="single" w:color="000000" w:sz="4" w:space="0"/>
              <w:left w:val="single" w:color="000000" w:sz="4" w:space="0"/>
              <w:bottom w:val="single" w:color="000000" w:sz="4" w:space="0"/>
              <w:right w:val="single" w:color="000000" w:sz="4" w:space="0"/>
            </w:tcBorders>
            <w:tcW w:w="6463"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6X8(CM)工字轨，表面氧化处理。 2 根 7 米</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米</w:t>
            </w:r>
            <w:r/>
          </w:p>
        </w:tc>
      </w:tr>
      <w:tr>
        <w:trPr>
          <w:jc w:val="center"/>
          <w:trHeight w:val="270"/>
        </w:trPr>
        <w:tc>
          <w:tcPr>
            <w:shd w:val="clear" w:color="auto" w:fill="auto"/>
            <w:tcBorders>
              <w:top w:val="none" w:color="000000" w:sz="4" w:space="0"/>
              <w:left w:val="single" w:color="000000" w:sz="4" w:space="0"/>
              <w:bottom w:val="single" w:color="000000" w:sz="4" w:space="0"/>
              <w:right w:val="single" w:color="000000" w:sz="4" w:space="0"/>
            </w:tcBorders>
            <w:tcW w:w="81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活动轨道</w:t>
            </w:r>
            <w:r/>
          </w:p>
        </w:tc>
        <w:tc>
          <w:tcPr>
            <w:shd w:val="clear" w:color="auto" w:fill="auto"/>
            <w:tcBorders>
              <w:top w:val="single" w:color="000000" w:sz="4" w:space="0"/>
              <w:left w:val="single" w:color="000000" w:sz="4" w:space="0"/>
              <w:bottom w:val="single" w:color="000000" w:sz="4" w:space="0"/>
              <w:right w:val="single" w:color="000000" w:sz="4" w:space="0"/>
            </w:tcBorders>
            <w:tcW w:w="6463"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6X8(CM)工字轨，表面氧化处理。 4 根 5 米</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米</w:t>
            </w:r>
            <w:r/>
          </w:p>
        </w:tc>
      </w:tr>
      <w:tr>
        <w:trPr>
          <w:jc w:val="center"/>
          <w:trHeight w:val="270"/>
        </w:trPr>
        <w:tc>
          <w:tcPr>
            <w:shd w:val="clear" w:color="auto" w:fill="auto"/>
            <w:tcBorders>
              <w:top w:val="none" w:color="000000" w:sz="4" w:space="0"/>
              <w:left w:val="single" w:color="000000" w:sz="4" w:space="0"/>
              <w:bottom w:val="single" w:color="000000" w:sz="4" w:space="0"/>
              <w:right w:val="single" w:color="000000" w:sz="4" w:space="0"/>
            </w:tcBorders>
            <w:tcW w:w="81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轨道连接件</w:t>
            </w:r>
            <w:r/>
          </w:p>
        </w:tc>
        <w:tc>
          <w:tcPr>
            <w:shd w:val="clear" w:color="auto" w:fill="auto"/>
            <w:tcBorders>
              <w:top w:val="single" w:color="000000" w:sz="4" w:space="0"/>
              <w:left w:val="single" w:color="000000" w:sz="4" w:space="0"/>
              <w:bottom w:val="single" w:color="000000" w:sz="4" w:space="0"/>
              <w:right w:val="single" w:color="000000" w:sz="4" w:space="0"/>
            </w:tcBorders>
            <w:tcW w:w="6463"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4X25(CM)扁铁，表面做防锈处理</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r>
      <w:tr>
        <w:trPr>
          <w:jc w:val="center"/>
          <w:trHeight w:val="270"/>
        </w:trPr>
        <w:tc>
          <w:tcPr>
            <w:shd w:val="clear" w:color="auto" w:fill="auto"/>
            <w:tcBorders>
              <w:top w:val="none" w:color="000000" w:sz="4" w:space="0"/>
              <w:left w:val="single" w:color="000000" w:sz="4" w:space="0"/>
              <w:bottom w:val="single" w:color="000000" w:sz="4" w:space="0"/>
              <w:right w:val="single" w:color="000000" w:sz="4" w:space="0"/>
            </w:tcBorders>
            <w:tcW w:w="81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轨道压片</w:t>
            </w:r>
            <w:r/>
          </w:p>
        </w:tc>
        <w:tc>
          <w:tcPr>
            <w:shd w:val="clear" w:color="auto" w:fill="auto"/>
            <w:tcBorders>
              <w:top w:val="single" w:color="000000" w:sz="4" w:space="0"/>
              <w:left w:val="single" w:color="000000" w:sz="4" w:space="0"/>
              <w:bottom w:val="single" w:color="000000" w:sz="4" w:space="0"/>
              <w:right w:val="single" w:color="000000" w:sz="4" w:space="0"/>
            </w:tcBorders>
            <w:tcW w:w="6463"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金属件，表面做防锈处理</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r>
      <w:tr>
        <w:trPr>
          <w:jc w:val="center"/>
          <w:trHeight w:val="270"/>
        </w:trPr>
        <w:tc>
          <w:tcPr>
            <w:shd w:val="clear" w:color="auto" w:fill="auto"/>
            <w:tcBorders>
              <w:top w:val="none" w:color="000000" w:sz="4" w:space="0"/>
              <w:left w:val="single" w:color="000000" w:sz="4" w:space="0"/>
              <w:bottom w:val="single" w:color="000000" w:sz="4" w:space="0"/>
              <w:right w:val="single" w:color="000000" w:sz="4" w:space="0"/>
            </w:tcBorders>
            <w:tcW w:w="81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轨道堵头</w:t>
            </w:r>
            <w:r/>
          </w:p>
        </w:tc>
        <w:tc>
          <w:tcPr>
            <w:shd w:val="clear" w:color="auto" w:fill="auto"/>
            <w:tcBorders>
              <w:top w:val="single" w:color="000000" w:sz="4" w:space="0"/>
              <w:left w:val="single" w:color="000000" w:sz="4" w:space="0"/>
              <w:bottom w:val="single" w:color="000000" w:sz="4" w:space="0"/>
              <w:right w:val="single" w:color="000000" w:sz="4" w:space="0"/>
            </w:tcBorders>
            <w:tcW w:w="6463"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金属件，表面做防锈处理</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r>
      <w:tr>
        <w:trPr>
          <w:jc w:val="center"/>
          <w:trHeight w:val="270"/>
        </w:trPr>
        <w:tc>
          <w:tcPr>
            <w:shd w:val="clear" w:color="auto" w:fill="auto"/>
            <w:tcBorders>
              <w:top w:val="none" w:color="000000" w:sz="4" w:space="0"/>
              <w:left w:val="single" w:color="000000" w:sz="4" w:space="0"/>
              <w:bottom w:val="single" w:color="000000" w:sz="4" w:space="0"/>
              <w:right w:val="single" w:color="000000" w:sz="4" w:space="0"/>
            </w:tcBorders>
            <w:tcW w:w="81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万向滑车</w:t>
            </w:r>
            <w:r/>
          </w:p>
        </w:tc>
        <w:tc>
          <w:tcPr>
            <w:shd w:val="clear" w:color="auto" w:fill="auto"/>
            <w:tcBorders>
              <w:top w:val="single" w:color="000000" w:sz="4" w:space="0"/>
              <w:left w:val="single" w:color="000000" w:sz="4" w:space="0"/>
              <w:bottom w:val="single" w:color="000000" w:sz="4" w:space="0"/>
              <w:right w:val="single" w:color="000000" w:sz="4" w:space="0"/>
            </w:tcBorders>
            <w:tcW w:w="6463"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八轮轴承体</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r>
      <w:tr>
        <w:trPr>
          <w:jc w:val="center"/>
          <w:trHeight w:val="270"/>
        </w:trPr>
        <w:tc>
          <w:tcPr>
            <w:shd w:val="clear" w:color="auto" w:fill="auto"/>
            <w:tcBorders>
              <w:top w:val="none" w:color="000000" w:sz="4" w:space="0"/>
              <w:left w:val="single" w:color="000000" w:sz="4" w:space="0"/>
              <w:bottom w:val="single" w:color="000000" w:sz="4" w:space="0"/>
              <w:right w:val="single" w:color="000000" w:sz="4" w:space="0"/>
            </w:tcBorders>
            <w:tcW w:w="81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灯具滑车</w:t>
            </w:r>
            <w:r/>
          </w:p>
        </w:tc>
        <w:tc>
          <w:tcPr>
            <w:shd w:val="clear" w:color="auto" w:fill="auto"/>
            <w:tcBorders>
              <w:top w:val="single" w:color="000000" w:sz="4" w:space="0"/>
              <w:left w:val="single" w:color="000000" w:sz="4" w:space="0"/>
              <w:bottom w:val="single" w:color="000000" w:sz="4" w:space="0"/>
              <w:right w:val="single" w:color="000000" w:sz="4" w:space="0"/>
            </w:tcBorders>
            <w:tcW w:w="6463"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四轮轴承体</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r>
      <w:tr>
        <w:trPr>
          <w:jc w:val="center"/>
          <w:trHeight w:val="270"/>
        </w:trPr>
        <w:tc>
          <w:tcPr>
            <w:shd w:val="clear" w:color="auto" w:fill="auto"/>
            <w:tcBorders>
              <w:top w:val="none" w:color="000000" w:sz="4" w:space="0"/>
              <w:left w:val="single" w:color="000000" w:sz="4" w:space="0"/>
              <w:bottom w:val="single" w:color="000000" w:sz="4" w:space="0"/>
              <w:right w:val="single" w:color="000000" w:sz="4" w:space="0"/>
            </w:tcBorders>
            <w:tcW w:w="81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线缆滑车</w:t>
            </w:r>
            <w:r/>
          </w:p>
        </w:tc>
        <w:tc>
          <w:tcPr>
            <w:shd w:val="clear" w:color="auto" w:fill="auto"/>
            <w:tcBorders>
              <w:top w:val="single" w:color="000000" w:sz="4" w:space="0"/>
              <w:left w:val="single" w:color="000000" w:sz="4" w:space="0"/>
              <w:bottom w:val="single" w:color="000000" w:sz="4" w:space="0"/>
              <w:right w:val="single" w:color="000000" w:sz="4" w:space="0"/>
            </w:tcBorders>
            <w:tcW w:w="6463"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两轮轴承体</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r>
      <w:tr>
        <w:trPr>
          <w:jc w:val="center"/>
          <w:trHeight w:val="675"/>
        </w:trPr>
        <w:tc>
          <w:tcPr>
            <w:shd w:val="clear" w:color="auto" w:fill="auto"/>
            <w:tcBorders>
              <w:top w:val="none" w:color="000000" w:sz="4" w:space="0"/>
              <w:left w:val="single" w:color="000000" w:sz="4" w:space="0"/>
              <w:bottom w:val="single" w:color="000000" w:sz="4" w:space="0"/>
              <w:right w:val="single" w:color="000000" w:sz="4" w:space="0"/>
            </w:tcBorders>
            <w:tcW w:w="81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恒力铰链</w:t>
            </w:r>
            <w:r/>
          </w:p>
        </w:tc>
        <w:tc>
          <w:tcPr>
            <w:shd w:val="clear" w:color="auto" w:fill="auto"/>
            <w:tcBorders>
              <w:top w:val="single" w:color="000000" w:sz="4" w:space="0"/>
              <w:left w:val="single" w:color="000000" w:sz="4" w:space="0"/>
              <w:bottom w:val="single" w:color="000000" w:sz="4" w:space="0"/>
              <w:right w:val="single" w:color="000000" w:sz="4" w:space="0"/>
            </w:tcBorders>
            <w:tcW w:w="6463"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专业安全实用卡簧式铰链，7公斤以下均采用单个卡簧即可，可准确定位。结构：调簧式设计、准确定位提升重量：7Kg颜色：黑色自身重量：≥4Kg</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r>
      <w:tr>
        <w:trPr>
          <w:jc w:val="center"/>
          <w:trHeight w:val="3150"/>
        </w:trPr>
        <w:tc>
          <w:tcPr>
            <w:shd w:val="clear" w:color="auto" w:fill="auto"/>
            <w:tcBorders>
              <w:top w:val="none" w:color="000000" w:sz="4" w:space="0"/>
              <w:left w:val="single" w:color="000000" w:sz="4" w:space="0"/>
              <w:bottom w:val="single" w:color="auto" w:sz="4" w:space="0"/>
              <w:right w:val="single" w:color="000000" w:sz="4" w:space="0"/>
            </w:tcBorders>
            <w:tcW w:w="81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auto" w:sz="4" w:space="0"/>
              <w:right w:val="single" w:color="000000" w:sz="4" w:space="0"/>
            </w:tcBorders>
            <w:tcW w:w="163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调光台</w:t>
            </w:r>
            <w:r/>
          </w:p>
        </w:tc>
        <w:tc>
          <w:tcPr>
            <w:shd w:val="clear" w:color="auto" w:fill="auto"/>
            <w:tcBorders>
              <w:top w:val="single" w:color="000000" w:sz="4" w:space="0"/>
              <w:left w:val="single" w:color="000000" w:sz="4" w:space="0"/>
              <w:bottom w:val="single" w:color="000000" w:sz="4" w:space="0"/>
              <w:right w:val="single" w:color="000000" w:sz="4" w:space="0"/>
            </w:tcBorders>
            <w:tcW w:w="6463"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DMX 512信号</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24通道</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八页12个重放推杆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6组追踪程序包含240个场景</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每步都可以设定延时和速度时间</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方向可逆的推杆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信道地址可重新设定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多个追逐程序可合并成追逐包连续运行</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可设置的推杆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可跟多款灯具配合使用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声控运行/轻拍同步/自动运行</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级性开关</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6U 19''面板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MIDI 功能</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r>
      <w:tr>
        <w:trPr>
          <w:jc w:val="center"/>
          <w:trHeight w:val="270"/>
        </w:trPr>
        <w:tc>
          <w:tcPr>
            <w:shd w:val="clear" w:color="auto" w:fill="auto"/>
            <w:tcBorders>
              <w:top w:val="single" w:color="auto" w:sz="4" w:space="0"/>
              <w:left w:val="single" w:color="auto" w:sz="4" w:space="0"/>
              <w:bottom w:val="single" w:color="auto" w:sz="4" w:space="0"/>
              <w:right w:val="single" w:color="000000" w:sz="4" w:space="0"/>
            </w:tcBorders>
            <w:tcW w:w="81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p>
        </w:tc>
        <w:tc>
          <w:tcPr>
            <w:shd w:val="clear" w:color="auto" w:fill="auto"/>
            <w:tcBorders>
              <w:top w:val="single" w:color="auto" w:sz="4" w:space="0"/>
              <w:left w:val="single" w:color="000000" w:sz="4" w:space="0"/>
              <w:bottom w:val="single" w:color="auto" w:sz="4" w:space="0"/>
              <w:right w:val="single" w:color="auto" w:sz="4" w:space="0"/>
            </w:tcBorders>
            <w:tcW w:w="163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配电箱</w:t>
            </w:r>
            <w:r/>
          </w:p>
        </w:tc>
        <w:tc>
          <w:tcPr>
            <w:shd w:val="clear" w:color="auto" w:fill="auto"/>
            <w:tcBorders>
              <w:top w:val="single" w:color="000000" w:sz="4" w:space="0"/>
              <w:left w:val="single" w:color="auto" w:sz="4" w:space="0"/>
              <w:bottom w:val="single" w:color="000000" w:sz="4" w:space="0"/>
              <w:right w:val="single" w:color="000000" w:sz="4" w:space="0"/>
            </w:tcBorders>
            <w:tcW w:w="6463"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电器配电箱AL</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r>
      <w:tr>
        <w:trPr>
          <w:jc w:val="center"/>
          <w:trHeight w:val="270"/>
        </w:trPr>
        <w:tc>
          <w:tcPr>
            <w:gridSpan w:val="5"/>
            <w:shd w:val="clear" w:color="auto" w:fill="auto"/>
            <w:tcBorders>
              <w:top w:val="single" w:color="000000" w:sz="4" w:space="0"/>
              <w:left w:val="single" w:color="000000" w:sz="4" w:space="0"/>
              <w:bottom w:val="single" w:color="000000" w:sz="4" w:space="0"/>
              <w:right w:val="none" w:color="000000" w:sz="4" w:space="0"/>
            </w:tcBorders>
            <w:tcW w:w="10082" w:type="dxa"/>
            <w:vAlign w:val="center"/>
            <w:textDirection w:val="lrTb"/>
            <w:noWrap/>
          </w:tcPr>
          <w:p>
            <w:pPr>
              <w:ind w:firstLine="0"/>
              <w:jc w:val="left"/>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四、环境装饰</w:t>
            </w:r>
            <w:r/>
          </w:p>
        </w:tc>
      </w:tr>
      <w:tr>
        <w:trPr>
          <w:jc w:val="center"/>
          <w:trHeight w:val="270"/>
        </w:trPr>
        <w:tc>
          <w:tcPr>
            <w:shd w:val="clear" w:color="auto" w:fill="auto"/>
            <w:tcBorders>
              <w:top w:val="none" w:color="000000" w:sz="4" w:space="0"/>
              <w:left w:val="single" w:color="000000" w:sz="4" w:space="0"/>
              <w:bottom w:val="single" w:color="000000" w:sz="4" w:space="0"/>
              <w:right w:val="single" w:color="000000" w:sz="4" w:space="0"/>
            </w:tcBorders>
            <w:tcW w:w="81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墙体轻钢龙骨基层</w:t>
            </w:r>
            <w:r/>
          </w:p>
        </w:tc>
        <w:tc>
          <w:tcPr>
            <w:shd w:val="clear" w:color="auto" w:fill="auto"/>
            <w:tcBorders>
              <w:top w:val="single" w:color="000000" w:sz="4" w:space="0"/>
              <w:left w:val="single" w:color="000000" w:sz="4" w:space="0"/>
              <w:bottom w:val="single" w:color="000000" w:sz="4" w:space="0"/>
              <w:right w:val="single" w:color="000000" w:sz="4" w:space="0"/>
            </w:tcBorders>
            <w:tcW w:w="6463" w:type="dxa"/>
            <w:vAlign w:val="center"/>
            <w:textDirection w:val="lrTb"/>
            <w:noWrap/>
          </w:tcPr>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1、C75轻钢龙骨基层框架；</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2、轻钢与墙、地面连接处采用隔音棉毡，避免钢性连接；</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r>
      <w:tr>
        <w:trPr>
          <w:jc w:val="center"/>
          <w:trHeight w:val="270"/>
        </w:trPr>
        <w:tc>
          <w:tcPr>
            <w:shd w:val="clear" w:color="auto" w:fill="auto"/>
            <w:tcBorders>
              <w:top w:val="none" w:color="000000" w:sz="4" w:space="0"/>
              <w:left w:val="single" w:color="000000" w:sz="4" w:space="0"/>
              <w:bottom w:val="single" w:color="000000" w:sz="4" w:space="0"/>
              <w:right w:val="single" w:color="000000" w:sz="4" w:space="0"/>
            </w:tcBorders>
            <w:tcW w:w="81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声学隔音棉</w:t>
            </w:r>
            <w:r/>
          </w:p>
        </w:tc>
        <w:tc>
          <w:tcPr>
            <w:shd w:val="clear" w:color="auto" w:fill="auto"/>
            <w:tcBorders>
              <w:top w:val="single" w:color="000000" w:sz="4" w:space="0"/>
              <w:left w:val="single" w:color="000000" w:sz="4" w:space="0"/>
              <w:bottom w:val="single" w:color="000000" w:sz="4" w:space="0"/>
              <w:right w:val="single" w:color="000000" w:sz="4" w:space="0"/>
            </w:tcBorders>
            <w:tcW w:w="6463" w:type="dxa"/>
            <w:vAlign w:val="center"/>
            <w:textDirection w:val="lrTb"/>
            <w:noWrap/>
          </w:tcPr>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1、填充5cm隔音岩棉板，外包玻璃丝布；</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r>
      <w:tr>
        <w:trPr>
          <w:jc w:val="center"/>
          <w:trHeight w:val="270"/>
        </w:trPr>
        <w:tc>
          <w:tcPr>
            <w:shd w:val="clear" w:color="auto" w:fill="auto"/>
            <w:tcBorders>
              <w:top w:val="none" w:color="000000" w:sz="4" w:space="0"/>
              <w:left w:val="single" w:color="000000" w:sz="4" w:space="0"/>
              <w:bottom w:val="single" w:color="000000" w:sz="4" w:space="0"/>
              <w:right w:val="single" w:color="000000" w:sz="4" w:space="0"/>
            </w:tcBorders>
            <w:tcW w:w="81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隔声层石膏板处理</w:t>
            </w:r>
            <w:r/>
          </w:p>
        </w:tc>
        <w:tc>
          <w:tcPr>
            <w:shd w:val="clear" w:color="auto" w:fill="auto"/>
            <w:tcBorders>
              <w:top w:val="single" w:color="000000" w:sz="4" w:space="0"/>
              <w:left w:val="single" w:color="000000" w:sz="4" w:space="0"/>
              <w:bottom w:val="single" w:color="000000" w:sz="4" w:space="0"/>
              <w:right w:val="single" w:color="000000" w:sz="4" w:space="0"/>
            </w:tcBorders>
            <w:tcW w:w="6463" w:type="dxa"/>
            <w:vAlign w:val="center"/>
            <w:textDirection w:val="lrTb"/>
            <w:noWrap/>
          </w:tcPr>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1、石膏板封实，黏贴带粘缝处理；形成墙体房中房隔声空腔结构层</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r>
      <w:tr>
        <w:trPr>
          <w:jc w:val="center"/>
          <w:trHeight w:val="270"/>
        </w:trPr>
        <w:tc>
          <w:tcPr>
            <w:shd w:val="clear" w:color="auto" w:fill="auto"/>
            <w:tcBorders>
              <w:top w:val="none" w:color="000000" w:sz="4" w:space="0"/>
              <w:left w:val="single" w:color="000000" w:sz="4" w:space="0"/>
              <w:bottom w:val="single" w:color="000000" w:sz="4" w:space="0"/>
              <w:right w:val="single" w:color="000000" w:sz="4" w:space="0"/>
            </w:tcBorders>
            <w:tcW w:w="81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聚酯纤维吸音板</w:t>
            </w:r>
            <w:r/>
          </w:p>
        </w:tc>
        <w:tc>
          <w:tcPr>
            <w:shd w:val="clear" w:color="auto" w:fill="auto"/>
            <w:tcBorders>
              <w:top w:val="single" w:color="000000" w:sz="4" w:space="0"/>
              <w:left w:val="single" w:color="000000" w:sz="4" w:space="0"/>
              <w:bottom w:val="single" w:color="000000" w:sz="4" w:space="0"/>
              <w:right w:val="single" w:color="000000" w:sz="4" w:space="0"/>
            </w:tcBorders>
            <w:tcW w:w="6463" w:type="dxa"/>
            <w:vAlign w:val="center"/>
            <w:textDirection w:val="lrTb"/>
            <w:noWrap/>
          </w:tcPr>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1、规格：1220*2440*9</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2、吸声系数：在125-400Hz噪音范围内最高吸音系数达到0.9以上</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3、防火要求：符合国家标准GB8624B1级要求</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4、甲醛释放量标准要求≤1.5㎎/1，达到国家标准GB18580-2001E1级要求，符合直接用于人员作业区域</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r>
      <w:tr>
        <w:trPr>
          <w:jc w:val="center"/>
          <w:trHeight w:val="270"/>
        </w:trPr>
        <w:tc>
          <w:tcPr>
            <w:shd w:val="clear" w:color="auto" w:fill="auto"/>
            <w:tcBorders>
              <w:top w:val="none" w:color="000000" w:sz="4" w:space="0"/>
              <w:left w:val="single" w:color="000000" w:sz="4" w:space="0"/>
              <w:bottom w:val="single" w:color="000000" w:sz="4" w:space="0"/>
              <w:right w:val="single" w:color="000000" w:sz="4" w:space="0"/>
            </w:tcBorders>
            <w:tcW w:w="81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PVC吸音地胶</w:t>
            </w:r>
            <w:r/>
          </w:p>
        </w:tc>
        <w:tc>
          <w:tcPr>
            <w:shd w:val="clear" w:color="auto" w:fill="auto"/>
            <w:tcBorders>
              <w:top w:val="single" w:color="000000" w:sz="4" w:space="0"/>
              <w:left w:val="single" w:color="000000" w:sz="4" w:space="0"/>
              <w:bottom w:val="single" w:color="000000" w:sz="4" w:space="0"/>
              <w:right w:val="single" w:color="000000" w:sz="4" w:space="0"/>
            </w:tcBorders>
            <w:tcW w:w="6463" w:type="dxa"/>
            <w:vAlign w:val="center"/>
            <w:textDirection w:val="lrTb"/>
            <w:noWrap/>
          </w:tcPr>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演播室专业PVC静音地胶</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r>
      <w:tr>
        <w:trPr>
          <w:jc w:val="center"/>
          <w:trHeight w:val="270"/>
        </w:trPr>
        <w:tc>
          <w:tcPr>
            <w:shd w:val="clear" w:color="auto" w:fill="auto"/>
            <w:tcBorders>
              <w:top w:val="none" w:color="000000" w:sz="4" w:space="0"/>
              <w:left w:val="single" w:color="000000" w:sz="4" w:space="0"/>
              <w:bottom w:val="single" w:color="000000" w:sz="4" w:space="0"/>
              <w:right w:val="single" w:color="000000" w:sz="4" w:space="0"/>
            </w:tcBorders>
            <w:tcW w:w="81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隔音门</w:t>
            </w:r>
            <w:r/>
          </w:p>
        </w:tc>
        <w:tc>
          <w:tcPr>
            <w:shd w:val="clear" w:color="auto" w:fill="auto"/>
            <w:tcBorders>
              <w:top w:val="single" w:color="000000" w:sz="4" w:space="0"/>
              <w:left w:val="single" w:color="000000" w:sz="4" w:space="0"/>
              <w:bottom w:val="single" w:color="000000" w:sz="4" w:space="0"/>
              <w:right w:val="single" w:color="000000" w:sz="4" w:space="0"/>
            </w:tcBorders>
            <w:tcW w:w="6463" w:type="dxa"/>
            <w:vAlign w:val="center"/>
            <w:textDirection w:val="lrTb"/>
            <w:noWrap/>
          </w:tcPr>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内部采用阻燃材料，外做软包处理，形成优质隔声效果，定制</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r>
      <w:tr>
        <w:trPr>
          <w:jc w:val="center"/>
          <w:trHeight w:val="270"/>
        </w:trPr>
        <w:tc>
          <w:tcPr>
            <w:shd w:val="clear" w:color="auto" w:fill="auto"/>
            <w:tcBorders>
              <w:top w:val="none" w:color="000000" w:sz="4" w:space="0"/>
              <w:left w:val="single" w:color="000000" w:sz="4" w:space="0"/>
              <w:bottom w:val="single" w:color="000000" w:sz="4" w:space="0"/>
              <w:right w:val="single" w:color="000000" w:sz="4" w:space="0"/>
            </w:tcBorders>
            <w:tcW w:w="81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木门</w:t>
            </w:r>
            <w:r/>
          </w:p>
        </w:tc>
        <w:tc>
          <w:tcPr>
            <w:shd w:val="clear" w:color="auto" w:fill="auto"/>
            <w:tcBorders>
              <w:top w:val="single" w:color="000000" w:sz="4" w:space="0"/>
              <w:left w:val="single" w:color="000000" w:sz="4" w:space="0"/>
              <w:bottom w:val="single" w:color="000000" w:sz="4" w:space="0"/>
              <w:right w:val="single" w:color="000000" w:sz="4" w:space="0"/>
            </w:tcBorders>
            <w:tcW w:w="6463" w:type="dxa"/>
            <w:vAlign w:val="center"/>
            <w:textDirection w:val="lrTb"/>
            <w:noWrap/>
          </w:tcPr>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木质木门</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r>
      <w:tr>
        <w:trPr>
          <w:jc w:val="center"/>
          <w:trHeight w:val="270"/>
        </w:trPr>
        <w:tc>
          <w:tcPr>
            <w:shd w:val="clear" w:color="auto" w:fill="auto"/>
            <w:tcBorders>
              <w:top w:val="none" w:color="000000" w:sz="4" w:space="0"/>
              <w:left w:val="single" w:color="000000" w:sz="4" w:space="0"/>
              <w:bottom w:val="single" w:color="000000" w:sz="4" w:space="0"/>
              <w:right w:val="single" w:color="000000" w:sz="4" w:space="0"/>
            </w:tcBorders>
            <w:tcW w:w="81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顶部喷黑处理</w:t>
            </w:r>
            <w:r/>
          </w:p>
        </w:tc>
        <w:tc>
          <w:tcPr>
            <w:shd w:val="clear" w:color="auto" w:fill="auto"/>
            <w:tcBorders>
              <w:top w:val="single" w:color="000000" w:sz="4" w:space="0"/>
              <w:left w:val="single" w:color="000000" w:sz="4" w:space="0"/>
              <w:bottom w:val="single" w:color="000000" w:sz="4" w:space="0"/>
              <w:right w:val="single" w:color="000000" w:sz="4" w:space="0"/>
            </w:tcBorders>
            <w:tcW w:w="6463" w:type="dxa"/>
            <w:vAlign w:val="center"/>
            <w:textDirection w:val="lrTb"/>
            <w:noWrap/>
          </w:tcPr>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顶部喷黑处理，均匀喷色；</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w:t>
            </w:r>
            <w:r/>
          </w:p>
        </w:tc>
      </w:tr>
      <w:tr>
        <w:trPr>
          <w:jc w:val="center"/>
          <w:trHeight w:val="270"/>
        </w:trPr>
        <w:tc>
          <w:tcPr>
            <w:shd w:val="clear" w:color="auto" w:fill="auto"/>
            <w:tcBorders>
              <w:top w:val="none" w:color="000000" w:sz="4" w:space="0"/>
              <w:left w:val="single" w:color="000000" w:sz="4" w:space="0"/>
              <w:bottom w:val="single" w:color="000000" w:sz="4" w:space="0"/>
              <w:right w:val="single" w:color="000000" w:sz="4" w:space="0"/>
            </w:tcBorders>
            <w:tcW w:w="81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踢脚线处理</w:t>
            </w:r>
            <w:r/>
          </w:p>
        </w:tc>
        <w:tc>
          <w:tcPr>
            <w:shd w:val="clear" w:color="auto" w:fill="auto"/>
            <w:tcBorders>
              <w:top w:val="single" w:color="000000" w:sz="4" w:space="0"/>
              <w:left w:val="single" w:color="000000" w:sz="4" w:space="0"/>
              <w:bottom w:val="single" w:color="000000" w:sz="4" w:space="0"/>
              <w:right w:val="single" w:color="000000" w:sz="4" w:space="0"/>
            </w:tcBorders>
            <w:tcW w:w="6463" w:type="dxa"/>
            <w:vAlign w:val="center"/>
            <w:textDirection w:val="lrTb"/>
            <w:noWrap/>
          </w:tcPr>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100mm木工板基层</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r>
      <w:tr>
        <w:trPr>
          <w:jc w:val="center"/>
          <w:trHeight w:val="270"/>
        </w:trPr>
        <w:tc>
          <w:tcPr>
            <w:shd w:val="clear" w:color="auto" w:fill="auto"/>
            <w:tcBorders>
              <w:top w:val="none" w:color="000000" w:sz="4" w:space="0"/>
              <w:left w:val="single" w:color="000000" w:sz="4" w:space="0"/>
              <w:bottom w:val="single" w:color="000000" w:sz="4" w:space="0"/>
              <w:right w:val="single" w:color="000000" w:sz="4" w:space="0"/>
            </w:tcBorders>
            <w:tcW w:w="81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踢脚线</w:t>
            </w:r>
            <w:r/>
          </w:p>
        </w:tc>
        <w:tc>
          <w:tcPr>
            <w:shd w:val="clear" w:color="auto" w:fill="auto"/>
            <w:tcBorders>
              <w:top w:val="single" w:color="000000" w:sz="4" w:space="0"/>
              <w:left w:val="single" w:color="000000" w:sz="4" w:space="0"/>
              <w:bottom w:val="single" w:color="000000" w:sz="4" w:space="0"/>
              <w:right w:val="single" w:color="000000" w:sz="4" w:space="0"/>
            </w:tcBorders>
            <w:tcW w:w="6463" w:type="dxa"/>
            <w:vAlign w:val="center"/>
            <w:textDirection w:val="lrTb"/>
            <w:noWrap/>
          </w:tcPr>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1mm厚拉丝不锈钢贴面层。</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M</w:t>
            </w:r>
            <w:r/>
          </w:p>
        </w:tc>
      </w:tr>
      <w:tr>
        <w:trPr>
          <w:jc w:val="center"/>
          <w:trHeight w:val="270"/>
        </w:trPr>
        <w:tc>
          <w:tcPr>
            <w:shd w:val="clear" w:color="auto" w:fill="auto"/>
            <w:tcBorders>
              <w:top w:val="none" w:color="000000" w:sz="4" w:space="0"/>
              <w:left w:val="single" w:color="000000" w:sz="4" w:space="0"/>
              <w:bottom w:val="single" w:color="000000" w:sz="4" w:space="0"/>
              <w:right w:val="single" w:color="000000" w:sz="4" w:space="0"/>
            </w:tcBorders>
            <w:tcW w:w="81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普通照明</w:t>
            </w:r>
            <w:r/>
          </w:p>
        </w:tc>
        <w:tc>
          <w:tcPr>
            <w:shd w:val="clear" w:color="auto" w:fill="auto"/>
            <w:tcBorders>
              <w:top w:val="single" w:color="000000" w:sz="4" w:space="0"/>
              <w:left w:val="single" w:color="000000" w:sz="4" w:space="0"/>
              <w:bottom w:val="single" w:color="000000" w:sz="4" w:space="0"/>
              <w:right w:val="single" w:color="000000" w:sz="4" w:space="0"/>
            </w:tcBorders>
            <w:tcW w:w="6463" w:type="dxa"/>
            <w:vAlign w:val="center"/>
            <w:textDirection w:val="lrTb"/>
            <w:noWrap/>
          </w:tcPr>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60*60cmLED灯。</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jc w:val="center"/>
          <w:trHeight w:val="270"/>
        </w:trPr>
        <w:tc>
          <w:tcPr>
            <w:shd w:val="clear" w:color="auto" w:fill="auto"/>
            <w:tcBorders>
              <w:top w:val="none" w:color="000000" w:sz="4" w:space="0"/>
              <w:left w:val="single" w:color="000000" w:sz="4" w:space="0"/>
              <w:bottom w:val="single" w:color="000000" w:sz="4" w:space="0"/>
              <w:right w:val="single" w:color="000000" w:sz="4" w:space="0"/>
            </w:tcBorders>
            <w:tcW w:w="81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电源控制</w:t>
            </w:r>
            <w:r/>
          </w:p>
        </w:tc>
        <w:tc>
          <w:tcPr>
            <w:shd w:val="clear" w:color="auto" w:fill="auto"/>
            <w:tcBorders>
              <w:top w:val="single" w:color="000000" w:sz="4" w:space="0"/>
              <w:left w:val="single" w:color="000000" w:sz="4" w:space="0"/>
              <w:bottom w:val="single" w:color="000000" w:sz="4" w:space="0"/>
              <w:right w:val="single" w:color="000000" w:sz="4" w:space="0"/>
            </w:tcBorders>
            <w:tcW w:w="6463" w:type="dxa"/>
            <w:vAlign w:val="center"/>
            <w:textDirection w:val="lrTb"/>
            <w:noWrap/>
          </w:tcPr>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高低压智能配电柜安装</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r>
      <w:tr>
        <w:trPr>
          <w:jc w:val="center"/>
          <w:trHeight w:val="270"/>
        </w:trPr>
        <w:tc>
          <w:tcPr>
            <w:gridSpan w:val="5"/>
            <w:shd w:val="clear" w:color="auto" w:fill="auto"/>
            <w:tcBorders>
              <w:top w:val="single" w:color="000000" w:sz="4" w:space="0"/>
              <w:left w:val="single" w:color="000000" w:sz="4" w:space="0"/>
              <w:bottom w:val="single" w:color="000000" w:sz="4" w:space="0"/>
              <w:right w:val="single" w:color="000000" w:sz="4" w:space="0"/>
            </w:tcBorders>
            <w:tcW w:w="1008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auto"/>
                <w:sz w:val="22"/>
                <w:szCs w:val="22"/>
                <w:highlight w:val="none"/>
                <w:u w:val="none"/>
              </w:rPr>
              <w:suppressLineNumbers w:val="0"/>
            </w:pPr>
            <w:r>
              <w:rPr>
                <w:rFonts w:hint="eastAsia" w:ascii="宋体" w:hAnsi="宋体" w:eastAsia="宋体" w:cs="宋体"/>
                <w:b/>
                <w:bCs/>
                <w:i w:val="0"/>
                <w:iCs w:val="0"/>
                <w:color w:val="auto"/>
                <w:sz w:val="22"/>
                <w:szCs w:val="22"/>
                <w:highlight w:val="none"/>
                <w:u w:val="none"/>
                <w:lang w:val="en-US" w:eastAsia="zh-CN" w:bidi="ar"/>
              </w:rPr>
              <w:t xml:space="preserve">五、校园防欺凌</w:t>
            </w:r>
            <w:r/>
          </w:p>
        </w:tc>
      </w:tr>
      <w:tr>
        <w:trPr>
          <w:jc w:val="center"/>
          <w:trHeight w:val="3374"/>
        </w:trPr>
        <w:tc>
          <w:tcPr>
            <w:shd w:val="clear" w:color="auto" w:fill="auto"/>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63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紧急报警盒</w:t>
            </w:r>
            <w:r/>
          </w:p>
        </w:tc>
        <w:tc>
          <w:tcPr>
            <w:shd w:val="clear" w:color="auto" w:fill="auto"/>
            <w:tcBorders>
              <w:top w:val="single" w:color="000000" w:sz="4" w:space="0"/>
              <w:left w:val="single" w:color="000000" w:sz="4" w:space="0"/>
              <w:bottom w:val="single" w:color="000000" w:sz="4" w:space="0"/>
              <w:right w:val="single" w:color="000000" w:sz="4" w:space="0"/>
            </w:tcBorders>
            <w:tcW w:w="6463"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【技术参数】</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 操作系统：嵌入式操作系统</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 屏幕尺寸：无屏</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 屏幕分辨率：无</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 摄像头参数：无</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 操作方式：1个实体按键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 通信方式：有线网络</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7. 硬件接口：RJ45*1，电源接口*1， IO输入*2，IO输出*1，防拆报警*1，3.5mm音频输入输出接口*1，TF/micro SD卡接口*1（最大支持256G）</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cs="宋体"/>
                <w:b/>
                <w:bCs/>
                <w:i w:val="0"/>
                <w:iCs w:val="0"/>
                <w:color w:val="auto"/>
                <w:sz w:val="18"/>
                <w:szCs w:val="18"/>
                <w:highlight w:val="none"/>
                <w:u w:val="none"/>
                <w:lang w:val="en-US" w:eastAsia="zh-CN" w:bidi="ar"/>
              </w:rPr>
              <w:t xml:space="preserve">8.</w:t>
            </w:r>
            <w:r>
              <w:rPr>
                <w:rFonts w:hint="eastAsia" w:ascii="宋体" w:hAnsi="宋体" w:eastAsia="宋体" w:cs="宋体"/>
                <w:b/>
                <w:bCs/>
                <w:i w:val="0"/>
                <w:iCs w:val="0"/>
                <w:color w:val="auto"/>
                <w:sz w:val="18"/>
                <w:szCs w:val="18"/>
                <w:highlight w:val="none"/>
                <w:u w:val="none"/>
                <w:lang w:val="en-US" w:eastAsia="zh-CN" w:bidi="ar"/>
              </w:rPr>
              <w:t xml:space="preserve">设备支持通话转移，通话保持、托管、自动接听、实时多方通话、中心广播、语音会议功能</w:t>
            </w:r>
            <w:r>
              <w:rPr>
                <w:rFonts w:hint="eastAsia" w:ascii="宋体" w:hAnsi="宋体" w:eastAsia="宋体" w:cs="宋体"/>
                <w:b/>
                <w:bCs/>
                <w:i w:val="0"/>
                <w:iCs w:val="0"/>
                <w:color w:val="auto"/>
                <w:sz w:val="18"/>
                <w:szCs w:val="18"/>
                <w:highlight w:val="none"/>
                <w:u w:val="none"/>
                <w:lang w:val="en-US" w:eastAsia="zh-CN" w:bidi="ar"/>
              </w:rPr>
              <w:t xml:space="preserve">（提供公安部检测报告复印件加盖投标人公章证明）</w:t>
            </w:r>
            <w:r>
              <w:rPr>
                <w:rFonts w:hint="eastAsia" w:ascii="宋体" w:hAnsi="宋体" w:eastAsia="宋体" w:cs="宋体"/>
                <w:b/>
                <w:bCs/>
                <w:i w:val="0"/>
                <w:iCs w:val="0"/>
                <w:color w:val="auto"/>
                <w:sz w:val="18"/>
                <w:szCs w:val="18"/>
                <w:highlight w:val="none"/>
                <w:u w:val="none"/>
                <w:lang w:val="en-US" w:eastAsia="zh-CN" w:bidi="ar"/>
              </w:rPr>
              <w:br/>
            </w:r>
            <w:r>
              <w:rPr>
                <w:rFonts w:hint="eastAsia" w:ascii="宋体" w:hAnsi="宋体" w:cs="宋体"/>
                <w:b/>
                <w:bCs/>
                <w:i w:val="0"/>
                <w:iCs w:val="0"/>
                <w:color w:val="auto"/>
                <w:sz w:val="18"/>
                <w:szCs w:val="18"/>
                <w:highlight w:val="none"/>
                <w:u w:val="none"/>
                <w:lang w:val="en-US" w:eastAsia="zh-CN" w:bidi="ar"/>
              </w:rPr>
              <w:t xml:space="preserve">9.</w:t>
            </w:r>
            <w:r>
              <w:rPr>
                <w:rFonts w:hint="eastAsia" w:ascii="宋体" w:hAnsi="宋体" w:eastAsia="宋体" w:cs="宋体"/>
                <w:b/>
                <w:bCs/>
                <w:i w:val="0"/>
                <w:iCs w:val="0"/>
                <w:color w:val="auto"/>
                <w:sz w:val="18"/>
                <w:szCs w:val="18"/>
                <w:highlight w:val="none"/>
                <w:u w:val="none"/>
                <w:lang w:val="en-US" w:eastAsia="zh-CN" w:bidi="ar"/>
              </w:rPr>
              <w:t xml:space="preserve">通过无线紧急按钮应能呼叫报警中心进行通话，客户端应能查看无线紧急按钮的运行状态，无线紧急按钮故障状态可以上报给客户端</w:t>
            </w:r>
            <w:r>
              <w:rPr>
                <w:rFonts w:hint="eastAsia" w:ascii="宋体" w:hAnsi="宋体" w:eastAsia="宋体" w:cs="宋体"/>
                <w:b/>
                <w:bCs/>
                <w:i w:val="0"/>
                <w:iCs w:val="0"/>
                <w:color w:val="auto"/>
                <w:sz w:val="18"/>
                <w:szCs w:val="18"/>
                <w:highlight w:val="none"/>
                <w:u w:val="none"/>
                <w:lang w:val="en-US" w:eastAsia="zh-CN" w:bidi="ar"/>
              </w:rPr>
              <w:t xml:space="preserve">（提供公安部检测报告复印件加盖投标人公章证明）</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r>
      <w:tr>
        <w:trPr>
          <w:jc w:val="center"/>
          <w:trHeight w:val="1575"/>
        </w:trPr>
        <w:tc>
          <w:tcPr>
            <w:shd w:val="clear" w:color="auto" w:fill="auto"/>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63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存储卡（SD卡）</w:t>
            </w:r>
            <w:r/>
          </w:p>
        </w:tc>
        <w:tc>
          <w:tcPr>
            <w:shd w:val="clear" w:color="auto" w:fill="auto"/>
            <w:tcBorders>
              <w:top w:val="single" w:color="000000" w:sz="4" w:space="0"/>
              <w:left w:val="single" w:color="000000" w:sz="4" w:space="0"/>
              <w:bottom w:val="single" w:color="000000" w:sz="4" w:space="0"/>
              <w:right w:val="single" w:color="000000" w:sz="4" w:space="0"/>
            </w:tcBorders>
            <w:tcW w:w="6463"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TLC晶元，擦写次数3000次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标称容量128GB</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Class10，UHS-I（读90MB/s，写45MB/s）;</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尺寸14.99mm*10.92mm*1.02mm;</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工作温度：-25 ℃～85 ℃</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存储温度：-40 ℃～85 ℃</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auto"/>
                <w:sz w:val="18"/>
                <w:szCs w:val="18"/>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张</w:t>
            </w:r>
            <w:r/>
          </w:p>
        </w:tc>
      </w:tr>
      <w:tr>
        <w:trPr>
          <w:jc w:val="center"/>
          <w:trHeight w:val="2250"/>
        </w:trPr>
        <w:tc>
          <w:tcPr>
            <w:shd w:val="clear" w:color="auto" w:fill="auto"/>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紧急报警管理主机</w:t>
            </w:r>
            <w:r/>
          </w:p>
        </w:tc>
        <w:tc>
          <w:tcPr>
            <w:shd w:val="clear" w:color="auto" w:fill="auto"/>
            <w:tcBorders>
              <w:top w:val="single" w:color="000000" w:sz="4" w:space="0"/>
              <w:left w:val="single" w:color="000000" w:sz="4" w:space="0"/>
              <w:bottom w:val="single" w:color="000000" w:sz="4" w:space="0"/>
              <w:right w:val="single" w:color="000000" w:sz="4" w:space="0"/>
            </w:tcBorders>
            <w:tcW w:w="6463"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10.1寸触摸屏紧急报警管理机；集成视频查看、双向对讲、呼叫前端等功能，用于管理前端一键求助报警产品。</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支持1080P视频显示，支持H.264/H.265解码，支持最大128G Micro SD卡存储；</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 支持4路开关量输入，4路继电器输出；支持VGA、HDMI同源输出；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支持1路3.5mm音频输入，1路3.5mm音频输出；</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话柄、鹅颈话筒杆可拆卸，支持DC12V、PoE(IEEE 802.3 at/af)供电。</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当管理前端紧急报警设备数量超过48路，或者需多中心分级管理，加配sip服务对讲管理软件</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r>
      <w:tr>
        <w:trPr>
          <w:jc w:val="center"/>
          <w:trHeight w:val="3492"/>
        </w:trPr>
        <w:tc>
          <w:tcPr>
            <w:shd w:val="clear" w:color="auto" w:fill="auto"/>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紧急报警管理软件</w:t>
            </w:r>
            <w:r/>
          </w:p>
        </w:tc>
        <w:tc>
          <w:tcPr>
            <w:shd w:val="clear" w:color="auto" w:fill="auto"/>
            <w:tcBorders>
              <w:top w:val="single" w:color="000000" w:sz="4" w:space="0"/>
              <w:left w:val="single" w:color="000000" w:sz="4" w:space="0"/>
              <w:bottom w:val="single" w:color="000000" w:sz="4" w:space="0"/>
              <w:right w:val="single" w:color="000000" w:sz="4" w:space="0"/>
            </w:tcBorders>
            <w:tcW w:w="6463"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实现紧急报警设备的统一管理与控制。对讲系统与紧急报警设备之间通过信令交互、音频流处理及分发，以实现呼叫、多方对讲、广播等功能。支持监控平台或其他支持对讲协议的对讲软件对接。</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【功能特性】：</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 管理对讲设备：最多可同时管理 2000个设备，包括管理机、前端紧急报警设备（面板）</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 实现对讲应用：对讲应用包括多方对讲、中心广播、语音广播、监听等。最多可同时发起 20个对讲组，一个对讲组中最多可包括 8 个对讲设备</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 支持级联：最多可支持三级级联</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4. 提供对外接口，供第三方平台对接：第三平台通过对接对讲系统，可实现对讲设备管理控制、报警事件订阅等功能</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5. 紧急呼叫顺序：通过软件，可支持每个前端设备最多可设置 6 个呼叫中心</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6. 遇忙转接：终端呼叫中心时，按照呼叫顺序进行呼叫，且遇忙碌转接；即当中心 1忙碌时，系统自动将呼叫转接至中心 2，以此类推，直到某个中心接听对讲或到中心 6 忙碌为止</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r>
      <w:tr>
        <w:trPr>
          <w:jc w:val="center"/>
          <w:trHeight w:val="1850"/>
        </w:trPr>
        <w:tc>
          <w:tcPr>
            <w:shd w:val="clear" w:color="auto" w:fill="auto"/>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软件服务器</w:t>
            </w:r>
            <w:r/>
          </w:p>
        </w:tc>
        <w:tc>
          <w:tcPr>
            <w:shd w:val="clear" w:color="auto" w:fill="auto"/>
            <w:tcBorders>
              <w:top w:val="single" w:color="000000" w:sz="4" w:space="0"/>
              <w:left w:val="single" w:color="000000" w:sz="4" w:space="0"/>
              <w:bottom w:val="single" w:color="000000" w:sz="4" w:space="0"/>
              <w:right w:val="single" w:color="000000" w:sz="4" w:space="0"/>
            </w:tcBorders>
            <w:tcW w:w="6463"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CPU：10核/2.5GHz</w:t>
            </w:r>
            <w:r/>
          </w:p>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内存：8GB</w:t>
            </w:r>
            <w:r/>
          </w:p>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硬盘：256G SSD</w:t>
            </w:r>
            <w:r/>
          </w:p>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显示器：23.8英寸</w:t>
            </w:r>
            <w:r/>
          </w:p>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显卡：集显</w:t>
            </w:r>
            <w:r/>
          </w:p>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视频功能：支持超高清4K解码实景播放;支持多显卡调度，可在相同应用里使用双显卡，双显卡同时工作。（</w:t>
            </w:r>
            <w:r>
              <w:rPr>
                <w:rFonts w:hint="eastAsia" w:ascii="宋体" w:hAnsi="宋体" w:eastAsia="宋体" w:cs="宋体"/>
                <w:b/>
                <w:bCs/>
                <w:i w:val="0"/>
                <w:iCs w:val="0"/>
                <w:color w:val="auto"/>
                <w:sz w:val="18"/>
                <w:szCs w:val="18"/>
                <w:highlight w:val="none"/>
                <w:u w:val="none"/>
                <w:lang w:val="en-US" w:eastAsia="zh-CN" w:bidi="ar"/>
              </w:rPr>
              <w:t xml:space="preserve">提供</w:t>
            </w:r>
            <w:r>
              <w:rPr>
                <w:rFonts w:hint="eastAsia" w:ascii="宋体" w:hAnsi="宋体" w:cs="宋体"/>
                <w:b/>
                <w:bCs/>
                <w:i w:val="0"/>
                <w:iCs w:val="0"/>
                <w:color w:val="auto"/>
                <w:sz w:val="18"/>
                <w:szCs w:val="18"/>
                <w:highlight w:val="none"/>
                <w:u w:val="none"/>
                <w:lang w:val="en-US" w:eastAsia="zh-CN" w:bidi="ar"/>
              </w:rPr>
              <w:t xml:space="preserve">检测机构</w:t>
            </w:r>
            <w:r>
              <w:rPr>
                <w:rFonts w:hint="eastAsia" w:ascii="宋体" w:hAnsi="宋体" w:eastAsia="宋体" w:cs="宋体"/>
                <w:b/>
                <w:bCs/>
                <w:i w:val="0"/>
                <w:iCs w:val="0"/>
                <w:color w:val="auto"/>
                <w:sz w:val="18"/>
                <w:szCs w:val="18"/>
                <w:highlight w:val="none"/>
                <w:u w:val="none"/>
                <w:lang w:val="en-US" w:eastAsia="zh-CN" w:bidi="ar"/>
              </w:rPr>
              <w:t xml:space="preserve">出具的检测报告复印件并加盖投标人公章证明）</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r>
      <w:tr>
        <w:trPr>
          <w:jc w:val="center"/>
          <w:trHeight w:val="733"/>
        </w:trPr>
        <w:tc>
          <w:tcPr>
            <w:shd w:val="clear" w:color="auto" w:fill="auto"/>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教育综合安防管理平台基础包</w:t>
            </w:r>
            <w:r/>
          </w:p>
        </w:tc>
        <w:tc>
          <w:tcPr>
            <w:shd w:val="clear" w:color="auto" w:fill="auto"/>
            <w:tcBorders>
              <w:top w:val="single" w:color="000000" w:sz="4" w:space="0"/>
              <w:left w:val="single" w:color="000000" w:sz="4" w:space="0"/>
              <w:bottom w:val="single" w:color="000000" w:sz="4" w:space="0"/>
              <w:right w:val="single" w:color="000000" w:sz="4" w:space="0"/>
            </w:tcBorders>
            <w:tcW w:w="6463"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提供系统内的组织、人员、车辆、用户、角色、认证、区域等的配置和管理。已包含：图上监控、事件联动、视频网管。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提供入侵及周界报警相关业务 ，包括实时报警事件接收和报警反控。</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紧急报警</w:t>
            </w:r>
            <w:r/>
          </w:p>
        </w:tc>
        <w:tc>
          <w:tcPr>
            <w:shd w:val="clear" w:color="auto" w:fill="auto"/>
            <w:tcBorders>
              <w:top w:val="single" w:color="000000" w:sz="4" w:space="0"/>
              <w:left w:val="single" w:color="000000" w:sz="4" w:space="0"/>
              <w:bottom w:val="single" w:color="000000" w:sz="4" w:space="0"/>
              <w:right w:val="single" w:color="000000" w:sz="4" w:space="0"/>
            </w:tcBorders>
            <w:tcW w:w="6463"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紧急报警应用基于紧急报警设备和事件联动应用服务能力，通过视频、语音对讲能力处理突发的紧急事件、紧急求助，完成报警求助接警业务。</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1、支持紧急报警实时监测能力，可实时查看现场视频画面，并可报警人员对讲沟通；</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2、支持历史报警事件查询及导出能力；</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路</w:t>
            </w:r>
            <w:r/>
          </w:p>
        </w:tc>
      </w:tr>
      <w:tr>
        <w:trPr>
          <w:jc w:val="center"/>
          <w:trHeight w:val="2250"/>
        </w:trPr>
        <w:tc>
          <w:tcPr>
            <w:shd w:val="clear" w:color="auto" w:fill="auto"/>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防欺凌预警</w:t>
            </w:r>
            <w:r/>
          </w:p>
        </w:tc>
        <w:tc>
          <w:tcPr>
            <w:shd w:val="clear" w:color="auto" w:fill="auto"/>
            <w:tcBorders>
              <w:top w:val="single" w:color="000000" w:sz="4" w:space="0"/>
              <w:left w:val="single" w:color="000000" w:sz="4" w:space="0"/>
              <w:bottom w:val="single" w:color="000000" w:sz="4" w:space="0"/>
              <w:right w:val="single" w:color="000000" w:sz="4" w:space="0"/>
            </w:tcBorders>
            <w:tcW w:w="6463"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学生呼救，系统识别到关键字产生预警信息，推送到安保人员及教师，进行实时处置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1）【录音调取】防欺凌语音报警盒识别到关键词，在报警前后20秒会进行录音（时长可配置），储存在设备的SD卡上，平台可调取现场录音并进行播放。</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2）【现场抓图】可视款的报警盒，在报警发生时可实时抓取现场的图片，作为后续追溯时查询的依据。</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3）【来电配置】结合电话网关和紧急报警管理软件，实现将预警信息自动打电话的方式通知到指定的安保人员，支持配置3个电话号码，按照优先级拨打顺序（比如副校长、保安队长）。</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r>
      <w:tr>
        <w:trPr>
          <w:jc w:val="center"/>
          <w:trHeight w:val="4500"/>
        </w:trPr>
        <w:tc>
          <w:tcPr>
            <w:shd w:val="clear" w:color="auto" w:fill="auto"/>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平台服务器</w:t>
            </w:r>
            <w:r/>
          </w:p>
        </w:tc>
        <w:tc>
          <w:tcPr>
            <w:shd w:val="clear" w:color="auto" w:fill="auto"/>
            <w:tcBorders>
              <w:top w:val="single" w:color="000000" w:sz="4" w:space="0"/>
              <w:left w:val="single" w:color="000000" w:sz="4" w:space="0"/>
              <w:bottom w:val="single" w:color="000000" w:sz="4" w:space="0"/>
              <w:right w:val="single" w:color="000000" w:sz="4" w:space="0"/>
            </w:tcBorders>
            <w:tcW w:w="6463" w:type="dxa"/>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CPU：配置2颗处理器，单处理器物理核心数≥8核，主频≥3.0 GHz，末级缓存容量≥16 MB，线程数≥16线程，支持内存的最高速率≥3200 MHz，通道数≥2，位宽≥64；</w:t>
            </w:r>
            <w:r/>
          </w:p>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内存：配置64G DDR4，8根内存插槽；</w:t>
            </w:r>
            <w:r/>
          </w:p>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硬盘：2块1.2T 10K SAS 硬盘（Raid1），前置最大可选支持12块3.5寸(兼容2.5寸)热插拔SATA/SAS硬盘，板载最大可选支持1个SATA M.2硬盘；</w:t>
            </w:r>
            <w:r/>
          </w:p>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阵列卡：配置SAS_HBA卡（支持RAID 0/1/10）；</w:t>
            </w:r>
            <w:r/>
          </w:p>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PCIE扩展：最大支持4个标准PCIE插槽</w:t>
            </w:r>
            <w:r/>
          </w:p>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网口：标配板载2个千兆电口，支持选配10GbE SFP+等多种网络接口；</w:t>
            </w:r>
            <w:r/>
          </w:p>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其他接口：标配1个IPMI RJ-45管理接口，位于机箱后部；7个USB 3.0接口 4个位于机箱后部，2个位于机箱前部，1个位于机箱内部；2个VGA接口 1个位于机箱前部，1个位于机箱后部；</w:t>
            </w:r>
            <w:r/>
          </w:p>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t xml:space="preserve">电源：配置550W（1+1）高效铂金CRPS冗余电源；</w:t>
            </w:r>
            <w:r/>
          </w:p>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异常断电，电力恢复正常时，设备自动重启、系统业务恢复；服务停止时，设备能自动重启、系统业务恢复（</w:t>
            </w:r>
            <w:r>
              <w:rPr>
                <w:rFonts w:hint="eastAsia" w:ascii="宋体" w:hAnsi="宋体" w:eastAsia="宋体" w:cs="宋体"/>
                <w:b/>
                <w:bCs/>
                <w:i w:val="0"/>
                <w:iCs w:val="0"/>
                <w:color w:val="auto"/>
                <w:sz w:val="18"/>
                <w:szCs w:val="18"/>
                <w:highlight w:val="none"/>
                <w:u w:val="none"/>
                <w:lang w:val="en-US" w:eastAsia="zh-CN" w:bidi="ar"/>
              </w:rPr>
              <w:t xml:space="preserve">提供公安部检测报告复印件加盖投标人公章证明</w:t>
            </w:r>
            <w:r>
              <w:rPr>
                <w:rFonts w:hint="eastAsia" w:ascii="宋体" w:hAnsi="宋体" w:eastAsia="宋体" w:cs="宋体"/>
                <w:b/>
                <w:bCs/>
                <w:i w:val="0"/>
                <w:iCs w:val="0"/>
                <w:color w:val="auto"/>
                <w:sz w:val="18"/>
                <w:szCs w:val="18"/>
                <w:highlight w:val="none"/>
                <w:u w:val="none"/>
                <w:lang w:val="en-US" w:eastAsia="zh-CN" w:bidi="ar"/>
              </w:rPr>
              <w:t xml:space="preserve">）</w:t>
            </w:r>
            <w:r>
              <w:rPr>
                <w:rFonts w:hint="eastAsia" w:ascii="宋体" w:hAnsi="宋体" w:eastAsia="宋体" w:cs="宋体"/>
                <w:b/>
                <w:bCs/>
                <w:i w:val="0"/>
                <w:iCs w:val="0"/>
                <w:color w:val="auto"/>
                <w:sz w:val="18"/>
                <w:szCs w:val="18"/>
                <w:highlight w:val="none"/>
                <w:u w:val="none"/>
                <w:lang w:val="en-US" w:eastAsia="zh-CN" w:bidi="ar"/>
              </w:rPr>
              <w:br/>
            </w:r>
            <w:r>
              <w:rPr>
                <w:rFonts w:hint="eastAsia" w:ascii="宋体" w:hAnsi="宋体" w:eastAsia="宋体" w:cs="宋体"/>
                <w:b/>
                <w:bCs/>
                <w:i w:val="0"/>
                <w:iCs w:val="0"/>
                <w:color w:val="auto"/>
                <w:sz w:val="18"/>
                <w:szCs w:val="18"/>
                <w:highlight w:val="none"/>
                <w:u w:val="none"/>
                <w:lang w:val="en-US" w:eastAsia="zh-CN" w:bidi="ar"/>
              </w:rPr>
              <w:t xml:space="preserve">通过BMC 管理口，可获取硬件模块的工作状态信息，包括模块温度、风扇转速、电源状态、硬盘状态、内存、CPU、网络带宽、空间使用情况和机箱的温度等（</w:t>
            </w:r>
            <w:r>
              <w:rPr>
                <w:rFonts w:hint="eastAsia" w:ascii="宋体" w:hAnsi="宋体" w:eastAsia="宋体" w:cs="宋体"/>
                <w:b/>
                <w:bCs/>
                <w:i w:val="0"/>
                <w:iCs w:val="0"/>
                <w:color w:val="auto"/>
                <w:sz w:val="18"/>
                <w:szCs w:val="18"/>
                <w:highlight w:val="none"/>
                <w:u w:val="none"/>
                <w:lang w:val="en-US" w:eastAsia="zh-CN" w:bidi="ar"/>
              </w:rPr>
              <w:t xml:space="preserve">提供公安部检测报告复印件加盖投标人公章证明</w:t>
            </w:r>
            <w:r>
              <w:rPr>
                <w:rFonts w:hint="eastAsia" w:ascii="宋体" w:hAnsi="宋体" w:eastAsia="宋体" w:cs="宋体"/>
                <w:b/>
                <w:bCs/>
                <w:i w:val="0"/>
                <w:iCs w:val="0"/>
                <w:color w:val="auto"/>
                <w:sz w:val="18"/>
                <w:szCs w:val="18"/>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none" w:color="000000" w:sz="4" w:space="0"/>
              <w:right w:val="single" w:color="000000" w:sz="4" w:space="0"/>
            </w:tcBorders>
            <w:tcW w:w="543"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auto"/>
                <w:sz w:val="18"/>
                <w:szCs w:val="18"/>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6463" w:type="dxa"/>
            <w:vAlign w:val="center"/>
            <w:textDirection w:val="lrTb"/>
            <w:noWrap/>
          </w:tcPr>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超六类</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箱</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auto"/>
                <w:sz w:val="18"/>
                <w:szCs w:val="18"/>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POE4+2</w:t>
            </w:r>
            <w:r>
              <w:rPr>
                <w:rFonts w:hint="eastAsia" w:ascii="宋体" w:hAnsi="宋体" w:eastAsia="宋体" w:cs="宋体"/>
                <w:i w:val="0"/>
                <w:iCs w:val="0"/>
                <w:color w:val="auto"/>
                <w:sz w:val="18"/>
                <w:szCs w:val="18"/>
                <w:highlight w:val="none"/>
                <w:u w:val="none"/>
                <w:lang w:val="en-US" w:eastAsia="zh-CN"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6463" w:type="dxa"/>
            <w:vAlign w:val="center"/>
            <w:textDirection w:val="lrTb"/>
            <w:noWrap/>
          </w:tcPr>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交换容量≥256Gbps；</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包转发率≥60Mpps；</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业务端口：具备≥4个10/100/1000BASE-T电口(PoE)、2个10/100/1000BASE-T电口；</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设备管理：WEB管理、APP管理；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空载功耗：≤3W；</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满载功耗：≤65W；</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PoE：Port1≤60W，Port2-4≤30W，总功率≤60W；</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散热方式：无风扇，自然散热；</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安装方式：桌面式安装；</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ind w:firstLine="0"/>
              <w:jc w:val="center"/>
              <w:keepLines w:val="0"/>
              <w:keepNext w:val="0"/>
              <w:pageBreakBefore w:val="0"/>
              <w:spacing w:line="240" w:lineRule="auto"/>
              <w:widowControl/>
              <w:rPr>
                <w:rFonts w:hint="default" w:ascii="宋体" w:hAnsi="宋体" w:eastAsia="宋体" w:cs="宋体"/>
                <w:i w:val="0"/>
                <w:iCs w:val="0"/>
                <w:color w:val="auto"/>
                <w:sz w:val="18"/>
                <w:szCs w:val="18"/>
                <w:highlight w:val="none"/>
                <w:u w:val="none"/>
                <w:lang w:val="en-US"/>
              </w:rPr>
              <w:suppressLineNumbers w:val="0"/>
            </w:pPr>
            <w:r>
              <w:rPr>
                <w:rFonts w:hint="eastAsia" w:ascii="宋体" w:hAnsi="宋体" w:cs="宋体"/>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63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cs="宋体"/>
                <w:i w:val="0"/>
                <w:iCs w:val="0"/>
                <w:color w:val="auto"/>
                <w:sz w:val="18"/>
                <w:szCs w:val="18"/>
                <w:highlight w:val="none"/>
                <w:u w:val="none"/>
                <w:lang w:val="en-US" w:eastAsia="zh-CN" w:bidi="ar"/>
              </w:rPr>
              <w:t xml:space="preserve">POE16+2</w:t>
            </w:r>
            <w:r>
              <w:rPr>
                <w:rFonts w:hint="eastAsia" w:ascii="宋体" w:hAnsi="宋体" w:eastAsia="宋体" w:cs="宋体"/>
                <w:i w:val="0"/>
                <w:iCs w:val="0"/>
                <w:color w:val="auto"/>
                <w:sz w:val="18"/>
                <w:szCs w:val="18"/>
                <w:highlight w:val="none"/>
                <w:u w:val="none"/>
                <w:lang w:val="en-US" w:eastAsia="zh-CN"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6463" w:type="dxa"/>
            <w:vAlign w:val="center"/>
            <w:textDirection w:val="lrTb"/>
            <w:noWrap/>
          </w:tcPr>
          <w:p>
            <w:pPr>
              <w:ind w:firstLine="0"/>
              <w:jc w:val="left"/>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交换容量≥256Gbps；</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包转发率≥60Mpps；</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业务端口：具备≥16个10/100/1000BASE-T电口(PoE)、2个10/100/1000BASE-T电口、2个1000BASE-X SFP端口；</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设备管理：WEB管理、APP管理；</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空载功耗：≤6W；</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满载功耗：≤153W；</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PoE：Port 1-2≤90W，Port 3-16≤30W，总功率≤135W；</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散热方式：内置风扇散热；</w:t>
            </w:r>
            <w:r>
              <w:rPr>
                <w:rFonts w:hint="eastAsia" w:ascii="宋体" w:hAnsi="宋体" w:eastAsia="宋体" w:cs="宋体"/>
                <w:i w:val="0"/>
                <w:iCs w:val="0"/>
                <w:color w:val="auto"/>
                <w:sz w:val="18"/>
                <w:szCs w:val="18"/>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安装方式：桌面式、机架式安装；</w:t>
            </w:r>
            <w:r/>
          </w:p>
        </w:tc>
        <w:tc>
          <w:tcPr>
            <w:shd w:val="clear" w:color="auto" w:fill="auto"/>
            <w:tcBorders>
              <w:top w:val="single" w:color="000000" w:sz="4" w:space="0"/>
              <w:left w:val="single" w:color="000000" w:sz="4" w:space="0"/>
              <w:bottom w:val="single" w:color="000000" w:sz="4" w:space="0"/>
              <w:right w:val="single" w:color="000000" w:sz="4" w:space="0"/>
            </w:tcBorders>
            <w:tcW w:w="62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r>
    </w:tbl>
    <w:p>
      <w:pPr>
        <w:ind w:firstLine="482"/>
        <w:jc w:val="left"/>
        <w:pageBreakBefore w:val="0"/>
        <w:spacing w:line="360" w:lineRule="auto"/>
        <w:widowControl w:val="off"/>
        <w:rPr>
          <w:rFonts w:hint="eastAsia" w:ascii="宋体" w:hAnsi="宋体" w:cs="宋体"/>
          <w:b/>
          <w:bCs/>
          <w:color w:val="auto"/>
          <w:sz w:val="24"/>
          <w:highlight w:val="none"/>
        </w:rPr>
      </w:pPr>
      <w:r>
        <w:rPr>
          <w:rFonts w:hint="eastAsia" w:ascii="宋体" w:hAnsi="宋体" w:eastAsia="宋体" w:cs="宋体"/>
          <w:b/>
          <w:bCs/>
          <w:color w:val="auto"/>
          <w:sz w:val="24"/>
          <w:szCs w:val="24"/>
          <w:highlight w:val="none"/>
          <w:lang w:eastAsia="zh-CN"/>
        </w:rPr>
        <w:t xml:space="preserve">注：“</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eastAsia="zh-CN"/>
        </w:rPr>
        <w:t xml:space="preserve">”项参数响应情况按要求提供证明材</w:t>
      </w:r>
      <w:r>
        <w:rPr>
          <w:rFonts w:hint="eastAsia" w:ascii="宋体" w:hAnsi="宋体" w:cs="宋体"/>
          <w:b/>
          <w:bCs/>
          <w:color w:val="auto"/>
          <w:sz w:val="24"/>
          <w:szCs w:val="24"/>
          <w:highlight w:val="none"/>
          <w:lang w:eastAsia="zh-CN"/>
        </w:rPr>
        <w:t xml:space="preserve">料；</w:t>
      </w:r>
      <w:r>
        <w:rPr>
          <w:rFonts w:hint="eastAsia" w:ascii="宋体" w:hAnsi="宋体" w:eastAsia="宋体" w:cs="宋体"/>
          <w:b/>
          <w:bCs/>
          <w:color w:val="auto"/>
          <w:sz w:val="24"/>
          <w:szCs w:val="24"/>
          <w:highlight w:val="none"/>
          <w:lang w:eastAsia="zh-CN"/>
        </w:rPr>
        <w:t xml:space="preserve">非“</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eastAsia="zh-CN"/>
        </w:rPr>
        <w:t xml:space="preserve">”项参数响应情况：（</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eastAsia="zh-CN"/>
        </w:rPr>
        <w:t xml:space="preserve">）技术指标如须提供证明材料的按要求提供证明材料；（</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eastAsia="zh-CN"/>
        </w:rPr>
        <w:t xml:space="preserve">）技术指标如无需提供证明材料</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eastAsia="zh-CN"/>
        </w:rPr>
        <w:t xml:space="preserve">在技术偏离表中作出是否偏离，按实填写。</w:t>
      </w:r>
      <w:r/>
    </w:p>
    <w:p>
      <w:pPr>
        <w:ind w:firstLine="482"/>
        <w:jc w:val="left"/>
        <w:pageBreakBefore w:val="0"/>
        <w:spacing w:line="360" w:lineRule="auto"/>
        <w:widowControl w:val="off"/>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rPr>
        <w:t xml:space="preserve">.2 其他要求</w:t>
      </w:r>
      <w:r/>
    </w:p>
    <w:p>
      <w:pPr>
        <w:ind w:firstLine="48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实施要求：</w:t>
      </w:r>
      <w:r/>
    </w:p>
    <w:p>
      <w:pPr>
        <w:ind w:firstLine="48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（1）完工期：</w:t>
      </w:r>
      <w:r>
        <w:rPr>
          <w:rFonts w:hint="eastAsia" w:ascii="宋体" w:hAnsi="宋体" w:cs="宋体"/>
          <w:color w:val="auto"/>
          <w:sz w:val="24"/>
          <w:highlight w:val="none"/>
          <w:lang w:eastAsia="zh-CN"/>
        </w:rPr>
        <w:t xml:space="preserve">合同签订后</w:t>
      </w:r>
      <w:r>
        <w:rPr>
          <w:rFonts w:hint="eastAsia" w:ascii="宋体" w:hAnsi="宋体" w:cs="宋体"/>
          <w:color w:val="auto"/>
          <w:sz w:val="24"/>
          <w:highlight w:val="none"/>
          <w:lang w:val="en-US" w:eastAsia="zh-CN"/>
        </w:rPr>
        <w:t xml:space="preserve">25日历天</w:t>
      </w:r>
      <w:r>
        <w:rPr>
          <w:rFonts w:hint="eastAsia" w:ascii="宋体" w:hAnsi="宋体" w:cs="宋体"/>
          <w:color w:val="auto"/>
          <w:sz w:val="24"/>
          <w:highlight w:val="none"/>
        </w:rPr>
        <w:t xml:space="preserve">内完成建设并上线试运行</w:t>
      </w:r>
      <w:r>
        <w:rPr>
          <w:rFonts w:hint="eastAsia" w:ascii="宋体" w:hAnsi="宋体" w:cs="宋体"/>
          <w:color w:val="auto"/>
          <w:sz w:val="24"/>
          <w:highlight w:val="none"/>
          <w:lang w:eastAsia="zh-CN"/>
        </w:rPr>
        <w:t xml:space="preserve">；</w:t>
      </w:r>
      <w:r/>
    </w:p>
    <w:p>
      <w:pPr>
        <w:ind w:firstLine="48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（2）安装和调试：中标供应商负责全过程的施工、安装、调试、试运行工作</w:t>
      </w:r>
      <w:r>
        <w:rPr>
          <w:rFonts w:hint="eastAsia" w:ascii="宋体" w:hAnsi="宋体" w:cs="宋体"/>
          <w:color w:val="auto"/>
          <w:sz w:val="24"/>
          <w:highlight w:val="none"/>
          <w:lang w:eastAsia="zh-CN"/>
        </w:rPr>
        <w:t xml:space="preserve">；</w:t>
      </w:r>
      <w:r/>
    </w:p>
    <w:p>
      <w:pPr>
        <w:ind w:firstLine="48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（3）实施进度要求：供应商进场施工要提供施工进度计划表，施工进度计划表需要需方确认。供方保证项目实施的技术力量必须按时完工</w:t>
      </w:r>
      <w:r>
        <w:rPr>
          <w:rFonts w:hint="eastAsia" w:ascii="宋体" w:hAnsi="宋体" w:cs="宋体"/>
          <w:color w:val="auto"/>
          <w:sz w:val="24"/>
          <w:highlight w:val="none"/>
          <w:lang w:eastAsia="zh-CN"/>
        </w:rPr>
        <w:t xml:space="preserve">；</w:t>
      </w:r>
      <w:r/>
    </w:p>
    <w:p>
      <w:pPr>
        <w:ind w:firstLine="48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）施工安全要求：供方在施工过程中，应严格遵守安全施工的相关规范，应按相应安全规程操作，如在施工过程中发生安全事故，责任由供方自负</w:t>
      </w:r>
      <w:r>
        <w:rPr>
          <w:rFonts w:hint="eastAsia" w:ascii="宋体" w:hAnsi="宋体" w:eastAsia="宋体" w:cs="宋体"/>
          <w:color w:val="auto"/>
          <w:sz w:val="24"/>
          <w:highlight w:val="none"/>
          <w:lang w:eastAsia="zh-CN"/>
        </w:rPr>
        <w:t xml:space="preserve">；</w:t>
      </w:r>
      <w:r/>
    </w:p>
    <w:p>
      <w:pPr>
        <w:ind w:firstLine="48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eastAsia="zh-CN"/>
        </w:rPr>
        <w:t xml:space="preserve">实施完整性：</w:t>
      </w:r>
      <w:r>
        <w:rPr>
          <w:rFonts w:hint="eastAsia" w:ascii="宋体" w:hAnsi="宋体" w:eastAsia="宋体" w:cs="宋体"/>
          <w:b/>
          <w:bCs/>
          <w:color w:val="auto"/>
          <w:sz w:val="24"/>
          <w:highlight w:val="none"/>
          <w:lang w:eastAsia="zh-CN"/>
        </w:rPr>
        <w:t xml:space="preserve">中标供应商要综合考虑采购项目功能完整性，如遇到项目（设备）缺失、遗漏，请自行增补完善并考虑在报价中，中标后采购人不</w:t>
      </w:r>
      <w:r>
        <w:rPr>
          <w:rFonts w:hint="eastAsia" w:ascii="宋体" w:hAnsi="宋体" w:cs="宋体"/>
          <w:b/>
          <w:bCs/>
          <w:color w:val="auto"/>
          <w:sz w:val="24"/>
          <w:highlight w:val="none"/>
          <w:lang w:eastAsia="zh-CN"/>
        </w:rPr>
        <w:t xml:space="preserve">再</w:t>
      </w:r>
      <w:r>
        <w:rPr>
          <w:rFonts w:hint="eastAsia" w:ascii="宋体" w:hAnsi="宋体" w:eastAsia="宋体" w:cs="宋体"/>
          <w:b/>
          <w:bCs/>
          <w:color w:val="auto"/>
          <w:sz w:val="24"/>
          <w:highlight w:val="none"/>
          <w:lang w:eastAsia="zh-CN"/>
        </w:rPr>
        <w:t xml:space="preserve">增加此部分费用；</w:t>
      </w:r>
      <w:r/>
    </w:p>
    <w:p>
      <w:pPr>
        <w:ind w:firstLine="48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）项目整体质保期：软件</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年免费运维、硬件设备</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年原厂质保，自</w:t>
      </w:r>
      <w:r>
        <w:rPr>
          <w:rFonts w:hint="eastAsia" w:ascii="宋体" w:hAnsi="宋体" w:cs="宋体"/>
          <w:color w:val="auto"/>
          <w:sz w:val="24"/>
          <w:highlight w:val="none"/>
        </w:rPr>
        <w:t xml:space="preserve">项目验收合格之日起计算。质保期间，中标人包维修、保养、安检、调换等，此部分包含在预算内。对于采购方</w:t>
      </w:r>
      <w:r>
        <w:rPr>
          <w:rFonts w:hint="eastAsia" w:ascii="宋体" w:hAnsi="宋体" w:eastAsia="宋体" w:cs="宋体"/>
          <w:color w:val="auto"/>
          <w:sz w:val="24"/>
          <w:highlight w:val="none"/>
        </w:rPr>
        <w:t xml:space="preserve">人为原因造成的故障，中标人只收取维保成本费用</w:t>
      </w:r>
      <w:r>
        <w:rPr>
          <w:rFonts w:hint="eastAsia" w:ascii="宋体" w:hAnsi="宋体" w:eastAsia="宋体" w:cs="宋体"/>
          <w:color w:val="auto"/>
          <w:sz w:val="24"/>
          <w:highlight w:val="none"/>
          <w:lang w:eastAsia="zh-CN"/>
        </w:rPr>
        <w:t xml:space="preserve">；</w:t>
      </w:r>
      <w:r/>
    </w:p>
    <w:p>
      <w:pPr>
        <w:ind w:firstLine="480"/>
        <w:pageBreakBefore w:val="0"/>
        <w:spacing w:line="360" w:lineRule="auto"/>
        <w:widowControl w:val="off"/>
        <w:rPr>
          <w:rFonts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（7）软件系统无使用期限。</w:t>
      </w:r>
      <w:r/>
    </w:p>
    <w:p>
      <w:pPr>
        <w:ind w:firstLine="480"/>
        <w:pageBreakBefore w:val="0"/>
        <w:spacing w:line="360" w:lineRule="auto"/>
        <w:widowControl w:val="off"/>
        <w:rPr>
          <w:rFonts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2.2.2 人员要求：</w:t>
      </w:r>
      <w:r/>
    </w:p>
    <w:p>
      <w:pPr>
        <w:ind w:firstLine="424"/>
        <w:jc w:val="left"/>
        <w:pageBreakBefore w:val="0"/>
        <w:spacing w:line="360" w:lineRule="auto"/>
        <w:widowControl w:val="off"/>
        <w:rPr>
          <w:color w:val="auto"/>
          <w:sz w:val="24"/>
          <w:highlight w:val="none"/>
          <w:lang w:bidi="ar"/>
        </w:rPr>
      </w:pPr>
      <w:r>
        <w:rPr>
          <w:rFonts w:hint="eastAsia"/>
          <w:color w:val="auto"/>
          <w:sz w:val="24"/>
          <w:highlight w:val="none"/>
          <w:lang w:bidi="ar"/>
        </w:rPr>
        <w:t xml:space="preserve">本项目至少需要配备以下人员：</w:t>
      </w:r>
      <w:r/>
    </w:p>
    <w:p>
      <w:pPr>
        <w:ind w:firstLine="480"/>
        <w:jc w:val="left"/>
        <w:pageBreakBefore w:val="0"/>
        <w:spacing w:line="360" w:lineRule="auto"/>
        <w:widowControl w:val="off"/>
        <w:rPr>
          <w:rFonts w:hint="eastAsia"/>
          <w:color w:val="auto"/>
          <w:sz w:val="24"/>
          <w:highlight w:val="none"/>
          <w:lang w:bidi="ar"/>
        </w:rPr>
      </w:pPr>
      <w:r>
        <w:rPr>
          <w:rFonts w:hint="eastAsia"/>
          <w:color w:val="auto"/>
          <w:sz w:val="24"/>
          <w:highlight w:val="none"/>
          <w:lang w:bidi="ar"/>
        </w:rPr>
        <w:t xml:space="preserve">1.项目经理1名：</w:t>
      </w:r>
      <w:r/>
    </w:p>
    <w:p>
      <w:pPr>
        <w:ind w:firstLine="480"/>
        <w:jc w:val="left"/>
        <w:pageBreakBefore w:val="0"/>
        <w:spacing w:line="360" w:lineRule="auto"/>
        <w:widowControl w:val="off"/>
        <w:rPr>
          <w:color w:val="auto"/>
          <w:sz w:val="24"/>
          <w:highlight w:val="none"/>
          <w:lang w:bidi="ar"/>
        </w:rPr>
      </w:pPr>
      <w:r>
        <w:rPr>
          <w:rFonts w:hint="eastAsia"/>
          <w:color w:val="auto"/>
          <w:sz w:val="24"/>
          <w:highlight w:val="none"/>
          <w:lang w:bidi="ar"/>
        </w:rPr>
        <w:t xml:space="preserve">负责与采购方沟通合同实施时的相关事宜，包括提供商品质量参数是否与采购要求一致，设备安装调试是否符合要求，培训、验收相关工作准备、售后服务联络等。</w:t>
      </w:r>
      <w:r/>
    </w:p>
    <w:p>
      <w:pPr>
        <w:ind w:firstLine="480"/>
        <w:jc w:val="left"/>
        <w:pageBreakBefore w:val="0"/>
        <w:spacing w:line="360" w:lineRule="auto"/>
        <w:widowControl w:val="off"/>
        <w:rPr>
          <w:rFonts w:hint="eastAsia"/>
          <w:color w:val="auto"/>
          <w:sz w:val="24"/>
          <w:highlight w:val="none"/>
          <w:lang w:bidi="ar"/>
        </w:rPr>
      </w:pPr>
      <w:r>
        <w:rPr>
          <w:rFonts w:hint="eastAsia"/>
          <w:color w:val="auto"/>
          <w:sz w:val="24"/>
          <w:highlight w:val="none"/>
          <w:lang w:bidi="ar"/>
        </w:rPr>
        <w:t xml:space="preserve">2.施工人员</w:t>
      </w:r>
      <w:r>
        <w:rPr>
          <w:rFonts w:hint="eastAsia"/>
          <w:color w:val="auto"/>
          <w:sz w:val="24"/>
          <w:highlight w:val="none"/>
          <w:lang w:val="en-US" w:eastAsia="zh-CN" w:bidi="ar"/>
        </w:rPr>
        <w:t xml:space="preserve">1</w:t>
      </w:r>
      <w:r>
        <w:rPr>
          <w:rFonts w:hint="eastAsia"/>
          <w:color w:val="auto"/>
          <w:sz w:val="24"/>
          <w:highlight w:val="none"/>
          <w:lang w:bidi="ar"/>
        </w:rPr>
        <w:t xml:space="preserve">名及以上：</w:t>
      </w:r>
      <w:r/>
    </w:p>
    <w:p>
      <w:pPr>
        <w:ind w:firstLine="480"/>
        <w:jc w:val="left"/>
        <w:pageBreakBefore w:val="0"/>
        <w:spacing w:line="360" w:lineRule="auto"/>
        <w:widowControl w:val="off"/>
        <w:rPr>
          <w:color w:val="auto"/>
          <w:sz w:val="24"/>
          <w:highlight w:val="none"/>
          <w:lang w:bidi="ar"/>
        </w:rPr>
      </w:pPr>
      <w:r>
        <w:rPr>
          <w:rFonts w:hint="eastAsia"/>
          <w:color w:val="auto"/>
          <w:sz w:val="24"/>
          <w:highlight w:val="none"/>
          <w:lang w:bidi="ar"/>
        </w:rPr>
        <w:t xml:space="preserve">主要负责设备安装和调试，确保在交货期内完成合同要求。</w:t>
      </w:r>
      <w:r/>
    </w:p>
    <w:p>
      <w:pPr>
        <w:ind w:firstLine="480"/>
        <w:jc w:val="left"/>
        <w:pageBreakBefore w:val="0"/>
        <w:spacing w:line="360" w:lineRule="auto"/>
        <w:widowControl w:val="off"/>
        <w:rPr>
          <w:rFonts w:hint="eastAsia"/>
          <w:color w:val="auto"/>
          <w:sz w:val="24"/>
          <w:highlight w:val="none"/>
          <w:lang w:bidi="ar"/>
        </w:rPr>
      </w:pPr>
      <w:r>
        <w:rPr>
          <w:rFonts w:hint="eastAsia"/>
          <w:color w:val="auto"/>
          <w:sz w:val="24"/>
          <w:highlight w:val="none"/>
          <w:lang w:bidi="ar"/>
        </w:rPr>
        <w:t xml:space="preserve">3.培训人员</w:t>
      </w:r>
      <w:r>
        <w:rPr>
          <w:rFonts w:hint="eastAsia"/>
          <w:color w:val="auto"/>
          <w:sz w:val="24"/>
          <w:highlight w:val="none"/>
          <w:lang w:val="en-US" w:eastAsia="zh-CN" w:bidi="ar"/>
        </w:rPr>
        <w:t xml:space="preserve">1</w:t>
      </w:r>
      <w:r>
        <w:rPr>
          <w:rFonts w:hint="eastAsia"/>
          <w:color w:val="auto"/>
          <w:sz w:val="24"/>
          <w:highlight w:val="none"/>
          <w:lang w:bidi="ar"/>
        </w:rPr>
        <w:t xml:space="preserve">名及以上：</w:t>
      </w:r>
      <w:r/>
    </w:p>
    <w:p>
      <w:pPr>
        <w:ind w:firstLine="480"/>
        <w:jc w:val="left"/>
        <w:pageBreakBefore w:val="0"/>
        <w:spacing w:line="360" w:lineRule="auto"/>
        <w:widowControl w:val="off"/>
        <w:rPr>
          <w:color w:val="auto"/>
          <w:sz w:val="24"/>
          <w:highlight w:val="none"/>
          <w:lang w:bidi="ar"/>
        </w:rPr>
      </w:pPr>
      <w:r>
        <w:rPr>
          <w:rFonts w:hint="eastAsia"/>
          <w:color w:val="auto"/>
          <w:sz w:val="24"/>
          <w:highlight w:val="none"/>
          <w:lang w:bidi="ar"/>
        </w:rPr>
        <w:t xml:space="preserve">具有相关专业技能，能按合同要求完成相关培训课程，保证教学效果。</w:t>
      </w:r>
      <w:r/>
    </w:p>
    <w:p>
      <w:pPr>
        <w:ind w:firstLine="48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验收要求：</w:t>
      </w:r>
      <w:r/>
    </w:p>
    <w:p>
      <w:pPr>
        <w:ind w:firstLine="48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（1）本项目验收以招投标文件、合同文件、第三方检测及国家标准规范为质量评定标准。</w:t>
      </w:r>
      <w:r/>
    </w:p>
    <w:p>
      <w:pPr>
        <w:ind w:firstLine="48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bidi="ar"/>
        </w:rPr>
        <w:t xml:space="preserve">设备到达采购人现场前，应提前通知采购人做好接收准备，设备到达现场后由采购人会同有关单位和人员根据清单进行现场商检和验收；</w:t>
      </w:r>
      <w:r/>
    </w:p>
    <w:p>
      <w:pPr>
        <w:ind w:firstLine="480"/>
        <w:pageBreakBefore w:val="0"/>
        <w:spacing w:line="360" w:lineRule="auto"/>
        <w:widowControl w:val="off"/>
        <w:rPr>
          <w:rFonts w:hint="eastAsia" w:ascii="宋体" w:hAnsi="宋体" w:cs="宋体"/>
          <w:color w:val="auto"/>
          <w:sz w:val="24"/>
          <w:highlight w:val="none"/>
          <w:lang w:bidi="ar"/>
        </w:rPr>
      </w:pPr>
      <w:r>
        <w:rPr>
          <w:rFonts w:hint="eastAsia" w:ascii="宋体" w:hAnsi="宋体" w:cs="宋体"/>
          <w:color w:val="auto"/>
          <w:sz w:val="24"/>
          <w:highlight w:val="none"/>
        </w:rPr>
        <w:t xml:space="preserve">（3）</w:t>
      </w:r>
      <w:r>
        <w:rPr>
          <w:rFonts w:hint="eastAsia" w:ascii="宋体" w:hAnsi="宋体" w:cs="宋体"/>
          <w:color w:val="auto"/>
          <w:sz w:val="24"/>
          <w:highlight w:val="none"/>
          <w:lang w:bidi="ar"/>
        </w:rPr>
        <w:t xml:space="preserve">货物安装调试完成后，中标人须提供产品合格证、主要货物厂家质保书、保修证明等书面资料，并报请采购人进行检测验收。</w:t>
      </w:r>
      <w:r/>
    </w:p>
    <w:p>
      <w:pPr>
        <w:ind w:firstLine="48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（4）本项目的最终用户为招标人，中标人必须提供本项目的所有文档。项目建成后，移交前文档资料准备应包括以下三部分资料：</w:t>
      </w:r>
      <w:r/>
    </w:p>
    <w:p>
      <w:pPr>
        <w:ind w:firstLine="48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（5）一是工程过程的指导性文件：如技术交底、招投标文档、项目实际进度执行情况、系统日常操作与维护手册等。</w:t>
      </w:r>
      <w:r/>
    </w:p>
    <w:p>
      <w:pPr>
        <w:ind w:firstLine="48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（6）二是项目运作过程的记录性文件：如各种验收记录、系统修改日记等。</w:t>
      </w:r>
      <w:r/>
    </w:p>
    <w:p>
      <w:pPr>
        <w:ind w:firstLine="48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（7）三是项目过程的质量保证性文件：如设备签收记录、系统测试报告等。</w:t>
      </w:r>
      <w:r/>
    </w:p>
    <w:p>
      <w:pPr>
        <w:ind w:firstLine="480"/>
        <w:pageBreakBefore w:val="0"/>
        <w:spacing w:line="360" w:lineRule="auto"/>
        <w:widowControl w:val="off"/>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（8）具备以下条件，方可通过验收：</w:t>
      </w:r>
      <w:r/>
    </w:p>
    <w:p>
      <w:pPr>
        <w:ind w:firstLine="720"/>
        <w:pageBreakBefore w:val="0"/>
        <w:spacing w:line="360" w:lineRule="auto"/>
        <w:widowControl w:val="off"/>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① 经验收，设备及系统的各类性能及指标完全符合招标文件的技术要求、用途及功能需求。</w:t>
      </w:r>
      <w:r/>
    </w:p>
    <w:p>
      <w:pPr>
        <w:ind w:firstLine="720"/>
        <w:pageBreakBefore w:val="0"/>
        <w:spacing w:line="360" w:lineRule="auto"/>
        <w:widowControl w:val="off"/>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② 初验中出现的问题，已由中标人全部做好处理（永久性的而非临时性的），并经再次检测合格。</w:t>
      </w:r>
      <w:r/>
    </w:p>
    <w:p>
      <w:pPr>
        <w:ind w:firstLine="720"/>
        <w:pageBreakBefore w:val="0"/>
        <w:spacing w:line="360" w:lineRule="auto"/>
        <w:widowControl w:val="off"/>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③ 合同规定的技术文件，除竣工验收文件外，其它已经如数提交给采购人。</w:t>
      </w:r>
      <w:r/>
    </w:p>
    <w:p>
      <w:pPr>
        <w:ind w:firstLine="720"/>
        <w:pageBreakBefore w:val="0"/>
        <w:spacing w:line="360" w:lineRule="auto"/>
        <w:widowControl w:val="off"/>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④ 合同规定由中标供应商提供的技术服务已经实现。</w:t>
      </w:r>
      <w:r/>
    </w:p>
    <w:p>
      <w:pPr>
        <w:ind w:firstLine="720"/>
        <w:pageBreakBefore w:val="0"/>
        <w:spacing w:line="360" w:lineRule="auto"/>
        <w:widowControl w:val="off"/>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⑤ 甲乙双方共同组织或委托第三方来确认是否达到验收标准（参照验收大纲及有关标准由双方协商决定），若符合验收标准则验收合格。</w:t>
      </w:r>
      <w:r/>
    </w:p>
    <w:p>
      <w:pPr>
        <w:ind w:firstLine="720"/>
        <w:pageBreakBefore w:val="0"/>
        <w:spacing w:line="360" w:lineRule="auto"/>
        <w:widowControl w:val="off"/>
        <w:rPr>
          <w:rFonts w:hint="eastAsia" w:ascii="宋体" w:hAnsi="宋体" w:cs="宋体"/>
          <w:color w:val="auto"/>
          <w:sz w:val="24"/>
          <w:highlight w:val="none"/>
          <w:lang w:bidi="ar"/>
        </w:rPr>
      </w:pPr>
      <w:r>
        <w:rPr>
          <w:rFonts w:hint="eastAsia" w:ascii="宋体" w:hAnsi="宋体" w:cs="宋体"/>
          <w:color w:val="auto"/>
          <w:sz w:val="24"/>
          <w:highlight w:val="none"/>
          <w:lang w:val="en-US" w:eastAsia="zh-CN" w:bidi="ar"/>
        </w:rPr>
        <w:t xml:space="preserve">2</w:t>
      </w:r>
      <w:r>
        <w:rPr>
          <w:rFonts w:hint="eastAsia" w:ascii="宋体" w:hAnsi="宋体" w:cs="宋体"/>
          <w:color w:val="auto"/>
          <w:sz w:val="24"/>
          <w:highlight w:val="none"/>
          <w:lang w:bidi="ar"/>
        </w:rPr>
        <w:t xml:space="preserve">.2.</w:t>
      </w:r>
      <w:r>
        <w:rPr>
          <w:rFonts w:hint="eastAsia" w:ascii="宋体" w:hAnsi="宋体" w:cs="宋体"/>
          <w:color w:val="auto"/>
          <w:sz w:val="24"/>
          <w:highlight w:val="none"/>
          <w:lang w:val="en-US" w:eastAsia="zh-CN" w:bidi="ar"/>
        </w:rPr>
        <w:t xml:space="preserve">4</w:t>
      </w:r>
      <w:r>
        <w:rPr>
          <w:rFonts w:hint="eastAsia" w:ascii="宋体" w:hAnsi="宋体" w:cs="宋体"/>
          <w:color w:val="auto"/>
          <w:sz w:val="24"/>
          <w:highlight w:val="none"/>
          <w:lang w:bidi="ar"/>
        </w:rPr>
        <w:t xml:space="preserve">维护要求：</w:t>
      </w:r>
      <w:r/>
    </w:p>
    <w:p>
      <w:pPr>
        <w:ind w:firstLine="720"/>
        <w:pageBreakBefore w:val="0"/>
        <w:spacing w:line="360" w:lineRule="auto"/>
        <w:widowControl w:val="off"/>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（1）远程技术支持服务</w:t>
      </w:r>
      <w:r/>
    </w:p>
    <w:p>
      <w:pPr>
        <w:ind w:firstLine="720"/>
        <w:pageBreakBefore w:val="0"/>
        <w:spacing w:line="360" w:lineRule="auto"/>
        <w:widowControl w:val="off"/>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服务提供方设立技术支持/售后服务热线电话/传真。可通过拨打服务热线电话进行故障保修或技术咨询。同时，提供7*24小时的售后服务。</w:t>
      </w:r>
      <w:r/>
    </w:p>
    <w:p>
      <w:pPr>
        <w:ind w:firstLine="720"/>
        <w:pageBreakBefore w:val="0"/>
        <w:spacing w:line="360" w:lineRule="auto"/>
        <w:widowControl w:val="off"/>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（2）系统升级和改造</w:t>
      </w:r>
      <w:r/>
    </w:p>
    <w:p>
      <w:pPr>
        <w:ind w:firstLine="720"/>
        <w:pageBreakBefore w:val="0"/>
        <w:spacing w:line="360" w:lineRule="auto"/>
        <w:widowControl w:val="off"/>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每月对平台设备进行巡检至少1次，并形成详细巡检报告及图片，特殊时节根据需要进行巡检。</w:t>
      </w:r>
      <w:r/>
    </w:p>
    <w:p>
      <w:pPr>
        <w:ind w:firstLine="720"/>
        <w:pageBreakBefore w:val="0"/>
        <w:spacing w:line="360" w:lineRule="auto"/>
        <w:widowControl w:val="off"/>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（3）其他维护管理服务</w:t>
      </w:r>
      <w:r/>
    </w:p>
    <w:p>
      <w:pPr>
        <w:ind w:firstLine="720"/>
        <w:pageBreakBefore w:val="0"/>
        <w:spacing w:line="360" w:lineRule="auto"/>
        <w:widowControl w:val="off"/>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提供全部的维护管理服务，包括但不限于热线服务、现场服务、本地紧急技术支持、故障预测服务、软硬件服务、在线监测、更新的软件发送、新版本软件的发送、下载测试等服务。</w:t>
      </w:r>
      <w:r/>
    </w:p>
    <w:p>
      <w:pPr>
        <w:ind w:firstLine="482"/>
        <w:pageBreakBefore w:val="0"/>
        <w:spacing w:line="360" w:lineRule="auto"/>
        <w:widowControl w:val="off"/>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三</w:t>
      </w:r>
      <w:r>
        <w:rPr>
          <w:rFonts w:hint="eastAsia" w:ascii="宋体" w:hAnsi="宋体" w:cs="宋体"/>
          <w:b/>
          <w:bCs/>
          <w:color w:val="auto"/>
          <w:sz w:val="24"/>
          <w:highlight w:val="none"/>
        </w:rPr>
        <w:t xml:space="preserve">、商务要求</w:t>
      </w:r>
      <w:r/>
    </w:p>
    <w:p>
      <w:pPr>
        <w:ind w:firstLine="480"/>
        <w:pageBreakBefore w:val="0"/>
        <w:spacing w:line="360" w:lineRule="auto"/>
        <w:widowControl w:val="off"/>
        <w:rPr>
          <w:rFonts w:hint="eastAsia" w:ascii="宋体" w:hAnsi="宋体" w:eastAsia="宋体" w:cs="宋体"/>
          <w:b/>
          <w:bCs/>
          <w:i/>
          <w:iCs/>
          <w:color w:val="auto"/>
          <w:sz w:val="24"/>
          <w:szCs w:val="24"/>
          <w:highlight w:val="none"/>
          <w:u w:val="single"/>
        </w:rPr>
      </w:pPr>
      <w:r>
        <w:rPr>
          <w:rFonts w:hint="eastAsia" w:ascii="宋体" w:hAnsi="宋体" w:cs="宋体"/>
          <w:b/>
          <w:bCs/>
          <w:i/>
          <w:iCs/>
          <w:color w:val="auto"/>
          <w:sz w:val="24"/>
          <w:szCs w:val="24"/>
          <w:highlight w:val="none"/>
          <w:u w:val="single"/>
        </w:rPr>
        <w:t xml:space="preserve">★</w:t>
      </w:r>
      <w:r>
        <w:rPr>
          <w:rFonts w:hint="eastAsia" w:ascii="宋体" w:hAnsi="宋体" w:eastAsia="宋体" w:cs="宋体"/>
          <w:b/>
          <w:bCs/>
          <w:i/>
          <w:iCs/>
          <w:color w:val="auto"/>
          <w:sz w:val="24"/>
          <w:szCs w:val="24"/>
          <w:highlight w:val="none"/>
          <w:u w:val="single"/>
          <w:lang w:val="en-US" w:eastAsia="zh-CN"/>
        </w:rPr>
        <w:t xml:space="preserve">3.</w:t>
      </w:r>
      <w:r>
        <w:rPr>
          <w:rFonts w:hint="eastAsia" w:ascii="宋体" w:hAnsi="宋体" w:cs="宋体"/>
          <w:b/>
          <w:bCs/>
          <w:i/>
          <w:iCs/>
          <w:color w:val="auto"/>
          <w:sz w:val="24"/>
          <w:szCs w:val="24"/>
          <w:highlight w:val="none"/>
          <w:u w:val="single"/>
          <w:lang w:val="en-US" w:eastAsia="zh-CN"/>
        </w:rPr>
        <w:t xml:space="preserve">1</w:t>
      </w:r>
      <w:r>
        <w:rPr>
          <w:rFonts w:hint="eastAsia" w:ascii="宋体" w:hAnsi="宋体" w:eastAsia="宋体" w:cs="宋体"/>
          <w:b/>
          <w:bCs/>
          <w:i/>
          <w:iCs/>
          <w:color w:val="auto"/>
          <w:sz w:val="24"/>
          <w:szCs w:val="24"/>
          <w:highlight w:val="none"/>
          <w:u w:val="single"/>
        </w:rPr>
        <w:t xml:space="preserve">合同履行期限（交货期）：</w:t>
      </w:r>
      <w:r>
        <w:rPr>
          <w:rFonts w:hint="eastAsia" w:ascii="宋体" w:hAnsi="宋体" w:eastAsia="宋体" w:cs="宋体"/>
          <w:b/>
          <w:bCs/>
          <w:i/>
          <w:iCs/>
          <w:color w:val="auto"/>
          <w:sz w:val="24"/>
          <w:szCs w:val="24"/>
          <w:highlight w:val="none"/>
          <w:u w:val="single"/>
          <w:lang w:eastAsia="zh-CN"/>
        </w:rPr>
        <w:t xml:space="preserve">合同签订后</w:t>
      </w:r>
      <w:r>
        <w:rPr>
          <w:rFonts w:hint="eastAsia" w:ascii="宋体" w:hAnsi="宋体" w:cs="宋体"/>
          <w:b/>
          <w:bCs/>
          <w:i/>
          <w:iCs/>
          <w:color w:val="auto"/>
          <w:sz w:val="24"/>
          <w:szCs w:val="24"/>
          <w:highlight w:val="none"/>
          <w:u w:val="single"/>
          <w:lang w:val="en-US" w:eastAsia="zh-CN"/>
        </w:rPr>
        <w:t xml:space="preserve">25日历天</w:t>
      </w:r>
      <w:r>
        <w:rPr>
          <w:rFonts w:hint="eastAsia" w:ascii="宋体" w:hAnsi="宋体" w:eastAsia="宋体" w:cs="宋体"/>
          <w:b/>
          <w:bCs/>
          <w:i/>
          <w:iCs/>
          <w:color w:val="auto"/>
          <w:sz w:val="24"/>
          <w:szCs w:val="24"/>
          <w:highlight w:val="none"/>
          <w:u w:val="single"/>
        </w:rPr>
        <w:t xml:space="preserve">内完成供货、安装调试，上线试运行，</w:t>
      </w:r>
      <w:r>
        <w:rPr>
          <w:rFonts w:hint="eastAsia" w:ascii="宋体" w:hAnsi="宋体" w:eastAsia="宋体" w:cs="宋体"/>
          <w:b/>
          <w:bCs/>
          <w:i/>
          <w:iCs/>
          <w:color w:val="auto"/>
          <w:sz w:val="24"/>
          <w:szCs w:val="24"/>
          <w:highlight w:val="none"/>
          <w:u w:val="single"/>
          <w:lang w:eastAsia="zh-CN"/>
        </w:rPr>
        <w:t xml:space="preserve">初步验收合格</w:t>
      </w:r>
      <w:r>
        <w:rPr>
          <w:rFonts w:hint="eastAsia" w:ascii="宋体" w:hAnsi="宋体" w:eastAsia="宋体" w:cs="宋体"/>
          <w:b/>
          <w:bCs/>
          <w:i/>
          <w:iCs/>
          <w:color w:val="auto"/>
          <w:sz w:val="24"/>
          <w:szCs w:val="24"/>
          <w:highlight w:val="none"/>
          <w:u w:val="single"/>
        </w:rPr>
        <w:t xml:space="preserve">。</w:t>
      </w:r>
      <w:r/>
    </w:p>
    <w:p>
      <w:pPr>
        <w:ind w:firstLine="480"/>
        <w:pageBreakBefore w:val="0"/>
        <w:spacing w:line="360" w:lineRule="auto"/>
        <w:widowControl w:val="off"/>
        <w:rPr>
          <w:rFonts w:hint="eastAsia" w:ascii="宋体" w:hAnsi="宋体" w:cs="宋体"/>
          <w:b/>
          <w:bCs/>
          <w:i/>
          <w:iCs/>
          <w:color w:val="auto"/>
          <w:sz w:val="24"/>
          <w:szCs w:val="24"/>
          <w:highlight w:val="none"/>
          <w:u w:val="single"/>
        </w:rPr>
      </w:pPr>
      <w:r>
        <w:rPr>
          <w:rFonts w:hint="eastAsia" w:ascii="宋体" w:hAnsi="宋体"/>
          <w:b/>
          <w:bCs/>
          <w:i/>
          <w:iCs/>
          <w:color w:val="auto"/>
          <w:sz w:val="24"/>
          <w:szCs w:val="24"/>
          <w:highlight w:val="none"/>
          <w:u w:val="single"/>
        </w:rPr>
        <w:t xml:space="preserve">★</w:t>
      </w:r>
      <w:r>
        <w:rPr>
          <w:rFonts w:hint="eastAsia" w:ascii="宋体" w:hAnsi="宋体"/>
          <w:b/>
          <w:bCs/>
          <w:i/>
          <w:iCs/>
          <w:color w:val="auto"/>
          <w:sz w:val="24"/>
          <w:szCs w:val="24"/>
          <w:highlight w:val="none"/>
          <w:u w:val="single"/>
          <w:lang w:val="en-US" w:eastAsia="zh-CN"/>
        </w:rPr>
        <w:t xml:space="preserve">3.2</w:t>
      </w:r>
      <w:r>
        <w:rPr>
          <w:rFonts w:hint="eastAsia" w:ascii="宋体" w:hAnsi="宋体"/>
          <w:b/>
          <w:bCs/>
          <w:i/>
          <w:iCs/>
          <w:color w:val="auto"/>
          <w:sz w:val="24"/>
          <w:szCs w:val="24"/>
          <w:highlight w:val="none"/>
          <w:u w:val="single"/>
        </w:rPr>
        <w:t xml:space="preserve">付款方式：</w:t>
      </w:r>
      <w:r>
        <w:rPr>
          <w:rFonts w:ascii="宋体" w:hAnsi="宋体" w:eastAsia="宋体" w:cs="宋体"/>
          <w:b/>
          <w:bCs/>
          <w:i/>
          <w:iCs/>
          <w:color w:val="auto"/>
          <w:spacing w:val="6"/>
          <w:sz w:val="24"/>
          <w:szCs w:val="24"/>
          <w:highlight w:val="none"/>
          <w:u w:val="single"/>
        </w:rPr>
        <w:t xml:space="preserve">合同签订</w:t>
      </w:r>
      <w:r>
        <w:rPr>
          <w:rFonts w:hint="eastAsia" w:ascii="宋体" w:hAnsi="宋体" w:eastAsia="宋体" w:cs="宋体"/>
          <w:b/>
          <w:bCs/>
          <w:i/>
          <w:iCs/>
          <w:color w:val="auto"/>
          <w:spacing w:val="6"/>
          <w:sz w:val="24"/>
          <w:szCs w:val="24"/>
          <w:highlight w:val="none"/>
          <w:u w:val="single"/>
          <w:lang w:val="en-US" w:eastAsia="zh-CN"/>
        </w:rPr>
        <w:t xml:space="preserve">安装调试上线试运行</w:t>
      </w:r>
      <w:r>
        <w:rPr>
          <w:rFonts w:ascii="宋体" w:hAnsi="宋体" w:eastAsia="宋体" w:cs="宋体"/>
          <w:b/>
          <w:bCs/>
          <w:i/>
          <w:iCs/>
          <w:color w:val="auto"/>
          <w:spacing w:val="6"/>
          <w:sz w:val="24"/>
          <w:szCs w:val="24"/>
          <w:highlight w:val="none"/>
          <w:u w:val="single"/>
        </w:rPr>
        <w:t xml:space="preserve">，经验收合格后支付合同总金额70%</w:t>
      </w:r>
      <w:r>
        <w:rPr>
          <w:rFonts w:hint="eastAsia" w:ascii="宋体" w:hAnsi="宋体" w:eastAsia="宋体" w:cs="宋体"/>
          <w:b/>
          <w:bCs/>
          <w:i/>
          <w:iCs/>
          <w:color w:val="auto"/>
          <w:spacing w:val="6"/>
          <w:sz w:val="24"/>
          <w:szCs w:val="24"/>
          <w:highlight w:val="none"/>
          <w:u w:val="single"/>
          <w:lang w:eastAsia="zh-CN"/>
        </w:rPr>
        <w:t xml:space="preserve">，</w:t>
      </w:r>
      <w:r>
        <w:rPr>
          <w:rFonts w:ascii="宋体" w:hAnsi="宋体" w:eastAsia="宋体" w:cs="宋体"/>
          <w:b/>
          <w:bCs/>
          <w:i/>
          <w:iCs/>
          <w:color w:val="auto"/>
          <w:spacing w:val="6"/>
          <w:sz w:val="24"/>
          <w:szCs w:val="24"/>
          <w:highlight w:val="none"/>
          <w:u w:val="single"/>
        </w:rPr>
        <w:t xml:space="preserve">验收合格</w:t>
      </w:r>
      <w:r>
        <w:rPr>
          <w:rFonts w:ascii="宋体" w:hAnsi="宋体" w:eastAsia="宋体" w:cs="宋体"/>
          <w:b/>
          <w:bCs/>
          <w:i/>
          <w:iCs/>
          <w:color w:val="auto"/>
          <w:spacing w:val="8"/>
          <w:sz w:val="24"/>
          <w:szCs w:val="24"/>
          <w:highlight w:val="none"/>
          <w:u w:val="single"/>
        </w:rPr>
        <w:t xml:space="preserve">满一年</w:t>
      </w:r>
      <w:r>
        <w:rPr>
          <w:rFonts w:ascii="宋体" w:hAnsi="宋体" w:eastAsia="宋体" w:cs="宋体"/>
          <w:b/>
          <w:bCs/>
          <w:i/>
          <w:iCs/>
          <w:color w:val="auto"/>
          <w:spacing w:val="7"/>
          <w:sz w:val="24"/>
          <w:szCs w:val="24"/>
          <w:highlight w:val="none"/>
          <w:u w:val="single"/>
        </w:rPr>
        <w:t xml:space="preserve">后</w:t>
      </w:r>
      <w:r>
        <w:rPr>
          <w:rFonts w:ascii="宋体" w:hAnsi="宋体" w:eastAsia="宋体" w:cs="宋体"/>
          <w:b/>
          <w:bCs/>
          <w:i/>
          <w:iCs/>
          <w:color w:val="auto"/>
          <w:spacing w:val="4"/>
          <w:sz w:val="24"/>
          <w:szCs w:val="24"/>
          <w:highlight w:val="none"/>
          <w:u w:val="single"/>
        </w:rPr>
        <w:t xml:space="preserve">支付合同总金额的20%(以验收合格日期为依据)，验收合格满两年后付清余款(无</w:t>
      </w:r>
      <w:r>
        <w:rPr>
          <w:rFonts w:ascii="宋体" w:hAnsi="宋体" w:eastAsia="宋体" w:cs="宋体"/>
          <w:b/>
          <w:bCs/>
          <w:i/>
          <w:iCs/>
          <w:color w:val="auto"/>
          <w:spacing w:val="1"/>
          <w:sz w:val="24"/>
          <w:szCs w:val="24"/>
          <w:highlight w:val="none"/>
          <w:u w:val="single"/>
        </w:rPr>
        <w:t xml:space="preserve">息</w:t>
      </w:r>
      <w:r>
        <w:rPr>
          <w:rFonts w:ascii="宋体" w:hAnsi="宋体" w:eastAsia="宋体" w:cs="宋体"/>
          <w:b/>
          <w:bCs/>
          <w:i/>
          <w:iCs/>
          <w:color w:val="auto"/>
          <w:sz w:val="24"/>
          <w:szCs w:val="24"/>
          <w:highlight w:val="none"/>
          <w:u w:val="single"/>
        </w:rPr>
        <w:t xml:space="preserve">)</w:t>
      </w:r>
      <w:r>
        <w:rPr>
          <w:rFonts w:hint="eastAsia" w:ascii="宋体" w:hAnsi="宋体" w:eastAsia="宋体" w:cs="宋体"/>
          <w:b/>
          <w:bCs/>
          <w:i/>
          <w:iCs/>
          <w:color w:val="auto"/>
          <w:sz w:val="24"/>
          <w:szCs w:val="24"/>
          <w:highlight w:val="none"/>
          <w:u w:val="single"/>
          <w:lang w:eastAsia="zh-CN"/>
        </w:rPr>
        <w:t xml:space="preserve">。</w:t>
      </w:r>
      <w:r/>
    </w:p>
    <w:p>
      <w:pPr>
        <w:ind w:firstLine="480"/>
        <w:pageBreakBefore w:val="0"/>
        <w:spacing w:line="360" w:lineRule="auto"/>
        <w:widowControl w:val="off"/>
        <w:rPr>
          <w:rFonts w:hint="eastAsia" w:ascii="宋体" w:hAnsi="宋体" w:eastAsia="宋体" w:cs="宋体"/>
          <w:b/>
          <w:bCs/>
          <w:i/>
          <w:iCs/>
          <w:color w:val="auto"/>
          <w:sz w:val="24"/>
          <w:szCs w:val="24"/>
          <w:highlight w:val="none"/>
          <w:u w:val="single"/>
        </w:rPr>
      </w:pPr>
      <w:r>
        <w:rPr>
          <w:rFonts w:hint="eastAsia" w:ascii="宋体" w:hAnsi="宋体" w:cs="宋体"/>
          <w:b/>
          <w:bCs/>
          <w:i/>
          <w:iCs/>
          <w:color w:val="auto"/>
          <w:sz w:val="24"/>
          <w:szCs w:val="24"/>
          <w:highlight w:val="none"/>
          <w:u w:val="single"/>
        </w:rPr>
        <w:t xml:space="preserve">★</w:t>
      </w:r>
      <w:r>
        <w:rPr>
          <w:rFonts w:hint="eastAsia" w:ascii="宋体" w:hAnsi="宋体" w:eastAsia="宋体" w:cs="宋体"/>
          <w:b/>
          <w:bCs/>
          <w:i/>
          <w:iCs/>
          <w:color w:val="auto"/>
          <w:sz w:val="24"/>
          <w:szCs w:val="24"/>
          <w:highlight w:val="none"/>
          <w:u w:val="single"/>
          <w:lang w:val="en-US" w:eastAsia="zh-CN"/>
        </w:rPr>
        <w:t xml:space="preserve">3.</w:t>
      </w:r>
      <w:r>
        <w:rPr>
          <w:rFonts w:hint="eastAsia" w:ascii="宋体" w:hAnsi="宋体" w:cs="宋体"/>
          <w:b/>
          <w:bCs/>
          <w:i/>
          <w:iCs/>
          <w:color w:val="auto"/>
          <w:sz w:val="24"/>
          <w:szCs w:val="24"/>
          <w:highlight w:val="none"/>
          <w:u w:val="single"/>
          <w:lang w:val="en-US" w:eastAsia="zh-CN"/>
        </w:rPr>
        <w:t xml:space="preserve">3</w:t>
      </w:r>
      <w:r>
        <w:rPr>
          <w:rFonts w:hint="eastAsia" w:ascii="宋体" w:hAnsi="宋体" w:eastAsia="宋体" w:cs="宋体"/>
          <w:b/>
          <w:bCs/>
          <w:i/>
          <w:iCs/>
          <w:color w:val="auto"/>
          <w:sz w:val="24"/>
          <w:szCs w:val="24"/>
          <w:highlight w:val="none"/>
          <w:u w:val="single"/>
        </w:rPr>
        <w:t xml:space="preserve">质保期限：</w:t>
      </w:r>
      <w:r>
        <w:rPr>
          <w:rFonts w:hint="eastAsia" w:ascii="宋体" w:hAnsi="宋体" w:eastAsia="宋体" w:cs="宋体"/>
          <w:b/>
          <w:bCs/>
          <w:i/>
          <w:iCs/>
          <w:color w:val="auto"/>
          <w:sz w:val="24"/>
          <w:szCs w:val="24"/>
          <w:highlight w:val="none"/>
          <w:u w:val="single"/>
          <w:lang w:val="en-US" w:eastAsia="zh-CN"/>
        </w:rPr>
        <w:t xml:space="preserve">3年。</w:t>
      </w:r>
      <w:r>
        <w:rPr>
          <w:rFonts w:hint="eastAsia" w:ascii="宋体" w:hAnsi="宋体" w:eastAsia="宋体" w:cs="宋体"/>
          <w:b/>
          <w:bCs/>
          <w:i/>
          <w:iCs/>
          <w:color w:val="auto"/>
          <w:sz w:val="24"/>
          <w:szCs w:val="24"/>
          <w:highlight w:val="none"/>
          <w:u w:val="single"/>
        </w:rPr>
        <w:t xml:space="preserve">质保期间，中标人包维修、保养、安检、调换等，此部分包含在预算内。对于采购方人为原因造成的故障，中标人只收取维保成本费用。</w:t>
      </w:r>
      <w:r/>
    </w:p>
    <w:p>
      <w:pPr>
        <w:ind w:firstLine="482"/>
        <w:pageBreakBefore w:val="0"/>
        <w:spacing w:line="360" w:lineRule="auto"/>
        <w:widowControl w:val="off"/>
        <w:rPr>
          <w:rFonts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履约保证金：本项目不收取履约保证金。</w:t>
      </w:r>
      <w:r/>
    </w:p>
    <w:p>
      <w:pPr>
        <w:ind w:firstLine="482"/>
        <w:pageBreakBefore w:val="0"/>
        <w:spacing w:line="360" w:lineRule="auto"/>
        <w:widowControl w:val="off"/>
        <w:rPr>
          <w:rFonts w:hint="eastAsia" w:ascii="宋体" w:hAnsi="宋体" w:cs="宋体"/>
          <w:b/>
          <w:bCs/>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cs="宋体"/>
          <w:color w:val="auto"/>
          <w:sz w:val="24"/>
          <w:highlight w:val="none"/>
          <w:lang w:val="en-US" w:eastAsia="zh-CN"/>
        </w:rPr>
        <w:t xml:space="preserve">5</w:t>
      </w:r>
      <w:r>
        <w:rPr>
          <w:rFonts w:hint="eastAsia" w:ascii="宋体" w:hAnsi="宋体" w:cs="宋体"/>
          <w:b/>
          <w:bCs/>
          <w:color w:val="auto"/>
          <w:sz w:val="24"/>
          <w:highlight w:val="none"/>
        </w:rPr>
        <w:t xml:space="preserve">质量与售后服务</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成交供应商应按磋商文件规定的货物性能、技术要求、质量标准向采购单位提供未经使用的全新合格产品。成交供应商应保证其提供的货物在正确安装、正确使用和保养条件下，在其使用寿命内具有良好的性能。</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成交供应商提供的货物在免费质保期内因货物本身的质量问题发生故障，成交供应商应负责免费更换。对达不到技术要求者，根据实际情况，经双方协商，可按以下办法处理：</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更换：由成交供应商承担所发生的全部费用。</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贬值处理：由买卖双方合议定价。</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退货处理：成交供应商应退还采购人支付的合同款，同时应承担该货物的直接费用（运输、保险、检验、货款利息及银行手续费等）。</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提供</w:t>
      </w:r>
      <w:r>
        <w:rPr>
          <w:rFonts w:hint="eastAsia" w:ascii="宋体" w:hAnsi="宋体" w:eastAsia="宋体" w:cs="宋体"/>
          <w:color w:val="auto"/>
          <w:sz w:val="24"/>
          <w:highlight w:val="none"/>
          <w:lang w:eastAsia="zh-CN"/>
        </w:rPr>
        <w:t xml:space="preserve">三</w:t>
      </w:r>
      <w:r>
        <w:rPr>
          <w:rFonts w:hint="eastAsia" w:ascii="宋体" w:hAnsi="宋体" w:eastAsia="宋体" w:cs="宋体"/>
          <w:color w:val="auto"/>
          <w:sz w:val="24"/>
          <w:highlight w:val="none"/>
        </w:rPr>
        <w:t xml:space="preserve">年售后响应服务，做到全年7*24小时的全天候售后响应服务</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远程技术支持服务</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服务提供方设立技术支持/售后服务热线电话/传真。可通过拨打服务热线电话进行故障保修或技术咨询。同时，提供7*24小时的售后服务。</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系统升级和改造</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提供免费软件升级，不收取额外费用，每</w:t>
      </w:r>
      <w:r>
        <w:rPr>
          <w:rFonts w:hint="eastAsia" w:ascii="宋体" w:hAnsi="宋体" w:eastAsia="宋体" w:cs="宋体"/>
          <w:color w:val="auto"/>
          <w:sz w:val="24"/>
          <w:highlight w:val="none"/>
          <w:lang w:val="en-US" w:eastAsia="zh-CN"/>
        </w:rPr>
        <w:t xml:space="preserve">半个</w:t>
      </w:r>
      <w:r>
        <w:rPr>
          <w:rFonts w:hint="eastAsia" w:ascii="宋体" w:hAnsi="宋体" w:eastAsia="宋体" w:cs="宋体"/>
          <w:color w:val="auto"/>
          <w:sz w:val="24"/>
          <w:highlight w:val="none"/>
        </w:rPr>
        <w:t xml:space="preserve">月对平台设备进行巡检至少1次，并形成详细巡检报告及图片，特殊时节根据需要进行巡检。</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其他维护管理服务</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提供全部的维护管理服务，包括但不限于热线服务、现场服务、本地紧急技术支持、故障预测服务、软硬件服务、在线监测、更新的软件发送、新版本软件的发送、下载测试等服务。</w:t>
      </w:r>
      <w:r/>
    </w:p>
    <w:p>
      <w:pPr>
        <w:ind w:firstLine="48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在免费质保期内，成交供应商应对货物出现的质量及安全问题负责处理解决并承担一切费用。</w:t>
      </w:r>
      <w:r/>
    </w:p>
    <w:p>
      <w:pPr>
        <w:ind w:firstLine="48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制定完善的培训方案、提供完整培训使用手册等，对设备</w:t>
      </w:r>
      <w:r>
        <w:rPr>
          <w:rFonts w:hint="eastAsia" w:ascii="宋体" w:hAnsi="宋体" w:eastAsia="宋体" w:cs="宋体"/>
          <w:color w:val="auto"/>
          <w:sz w:val="24"/>
          <w:highlight w:val="none"/>
          <w:lang w:eastAsia="zh-CN"/>
        </w:rPr>
        <w:t xml:space="preserve">使用</w:t>
      </w:r>
      <w:r>
        <w:rPr>
          <w:rFonts w:hint="eastAsia" w:ascii="宋体" w:hAnsi="宋体" w:eastAsia="宋体" w:cs="宋体"/>
          <w:color w:val="auto"/>
          <w:sz w:val="24"/>
          <w:highlight w:val="none"/>
        </w:rPr>
        <w:t xml:space="preserve">人员、采购人的系统维护人员提供针对性培训，包括产品使用、系统维护等。</w:t>
      </w:r>
      <w:r/>
    </w:p>
    <w:p>
      <w:pPr>
        <w:ind w:firstLine="241"/>
        <w:pageBreakBefore w:val="0"/>
        <w:spacing w:line="360" w:lineRule="auto"/>
        <w:widowControl w:val="off"/>
        <w:rPr>
          <w:rFonts w:hint="eastAsia" w:ascii="宋体" w:hAnsi="宋体" w:cs="宋体"/>
          <w:b/>
          <w:color w:val="auto"/>
          <w:sz w:val="24"/>
          <w:highlight w:val="none"/>
        </w:rPr>
      </w:pPr>
      <w:r>
        <w:rPr>
          <w:rFonts w:hint="eastAsia" w:ascii="宋体" w:hAnsi="宋体" w:cs="宋体"/>
          <w:b/>
          <w:color w:val="auto"/>
          <w:sz w:val="24"/>
          <w:highlight w:val="none"/>
          <w:lang w:eastAsia="zh-CN"/>
        </w:rPr>
        <w:t xml:space="preserve">四</w:t>
      </w:r>
      <w:r>
        <w:rPr>
          <w:rFonts w:hint="eastAsia" w:ascii="宋体" w:hAnsi="宋体" w:cs="宋体"/>
          <w:b/>
          <w:color w:val="auto"/>
          <w:sz w:val="24"/>
          <w:highlight w:val="none"/>
        </w:rPr>
        <w:t xml:space="preserve">、辅材、配件</w:t>
      </w:r>
      <w:r/>
    </w:p>
    <w:p>
      <w:pPr>
        <w:ind w:firstLine="480"/>
        <w:jc w:val="left"/>
        <w:pageBreakBefore w:val="0"/>
        <w:spacing w:line="360" w:lineRule="auto"/>
        <w:widowControl w:val="off"/>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投标人可视自身情况配置辅材，应能充分满足采购人需求的功能及参数要求。配套产品使用说明书、随配附件和工具以及清单一并附于货物内。</w:t>
      </w:r>
      <w:r/>
    </w:p>
    <w:p>
      <w:pPr>
        <w:ind w:firstLine="241"/>
        <w:pageBreakBefore w:val="0"/>
        <w:spacing w:line="360" w:lineRule="auto"/>
        <w:widowControl w:val="off"/>
        <w:rPr>
          <w:rFonts w:hint="eastAsia" w:ascii="宋体" w:hAnsi="宋体" w:cs="宋体"/>
          <w:b/>
          <w:color w:val="auto"/>
          <w:sz w:val="24"/>
          <w:highlight w:val="none"/>
        </w:rPr>
      </w:pPr>
      <w:r>
        <w:rPr>
          <w:rFonts w:hint="eastAsia" w:ascii="宋体" w:hAnsi="宋体" w:cs="宋体"/>
          <w:b/>
          <w:color w:val="auto"/>
          <w:sz w:val="24"/>
          <w:highlight w:val="none"/>
          <w:lang w:eastAsia="zh-CN"/>
        </w:rPr>
        <w:t xml:space="preserve">五</w:t>
      </w:r>
      <w:r>
        <w:rPr>
          <w:rFonts w:hint="eastAsia" w:ascii="宋体" w:hAnsi="宋体" w:cs="宋体"/>
          <w:b/>
          <w:color w:val="auto"/>
          <w:sz w:val="24"/>
          <w:highlight w:val="none"/>
        </w:rPr>
        <w:t xml:space="preserve">、国家或行业相关规范标准</w:t>
      </w:r>
      <w:r/>
    </w:p>
    <w:p>
      <w:pPr>
        <w:ind w:firstLine="424"/>
        <w:jc w:val="left"/>
        <w:pageBreakBefore w:val="0"/>
        <w:spacing w:line="360" w:lineRule="auto"/>
        <w:widowControl w:val="off"/>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应保证对其提供的产品及其制造工艺享有完全的知识产权，对由此引起的第三方争议由中标人承担全部责任。</w:t>
      </w:r>
      <w:r/>
    </w:p>
    <w:p>
      <w:pPr>
        <w:pStyle w:val="845"/>
        <w:ind w:firstLine="241"/>
        <w:pageBreakBefore w:val="0"/>
        <w:spacing w:line="360" w:lineRule="auto"/>
        <w:widowControl w:val="off"/>
        <w:rPr>
          <w:rFonts w:hint="eastAsia" w:ascii="宋体" w:hAnsi="宋体" w:cs="宋体"/>
          <w:b/>
          <w:color w:val="auto"/>
          <w:sz w:val="24"/>
          <w:highlight w:val="none"/>
        </w:rPr>
      </w:pPr>
      <w:r>
        <w:rPr>
          <w:rFonts w:hint="eastAsia" w:ascii="宋体" w:hAnsi="宋体" w:cs="宋体"/>
          <w:b/>
          <w:color w:val="auto"/>
          <w:sz w:val="24"/>
          <w:highlight w:val="none"/>
          <w:lang w:eastAsia="zh-CN"/>
        </w:rPr>
        <w:t xml:space="preserve">六</w:t>
      </w:r>
      <w:r>
        <w:rPr>
          <w:rFonts w:hint="eastAsia" w:ascii="宋体" w:hAnsi="宋体" w:cs="宋体"/>
          <w:b/>
          <w:color w:val="auto"/>
          <w:sz w:val="24"/>
          <w:highlight w:val="none"/>
        </w:rPr>
        <w:t xml:space="preserve">、投标报价要求</w:t>
      </w:r>
      <w:r/>
    </w:p>
    <w:p>
      <w:pPr>
        <w:ind w:firstLine="480"/>
        <w:pageBreakBefore w:val="0"/>
        <w:spacing w:line="360" w:lineRule="auto"/>
        <w:widowControl w:val="off"/>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投标报价须包含但不限于全部设备、材料备品备件、包装费、运杂费（运抵现场）、卸货费、现场保管费、运输保险费、成品保护费、安装费、调试费、产品使用培训费、售后服务、代费费、有关部门验收费用、各项有关规费和政策性规定费用及投标人确认为需要的其它费用等，直至交付至采购人使用时所需要的各种费用（包含所有隐含的内容）。投标人应采用分项报价最终汇总的方式进行，标明拟提供货物和服务的单价和总价，详细分析各项费用组成。</w:t>
      </w:r>
      <w:r/>
    </w:p>
    <w:p>
      <w:pPr>
        <w:pStyle w:val="1015"/>
        <w:numPr>
          <w:ilvl w:val="0"/>
          <w:numId w:val="0"/>
        </w:numPr>
        <w:pageBreakBefore w:val="0"/>
        <w:spacing w:line="360" w:lineRule="auto"/>
        <w:widowControl w:val="off"/>
        <w:rPr>
          <w:rFonts w:hint="eastAsia" w:ascii="宋体" w:hAnsi="宋体" w:eastAsia="宋体" w:cs="宋体"/>
          <w:color w:val="auto"/>
          <w:sz w:val="24"/>
          <w:szCs w:val="24"/>
          <w:highlight w:val="none"/>
        </w:rPr>
        <w:sectPr>
          <w:footerReference w:type="default" r:id="rId17"/>
          <w:footnotePr/>
          <w:endnotePr/>
          <w:type w:val="nextPage"/>
          <w:pgSz w:w="11906" w:h="16838" w:orient="portrait"/>
          <w:pgMar w:top="1134" w:right="1134" w:bottom="1134" w:left="1134" w:header="720" w:footer="720" w:gutter="0"/>
          <w:pgNumType w:start="1"/>
          <w:cols w:num="1" w:sep="0" w:space="1701" w:equalWidth="1"/>
          <w:docGrid w:linePitch="360"/>
        </w:sectPr>
      </w:pPr>
      <w:r>
        <w:rPr>
          <w:rFonts w:hint="eastAsia" w:ascii="宋体" w:hAnsi="宋体" w:eastAsia="宋体" w:cs="宋体"/>
          <w:color w:val="auto"/>
          <w:sz w:val="24"/>
          <w:szCs w:val="24"/>
          <w:highlight w:val="none"/>
        </w:rPr>
      </w:r>
      <w:r/>
    </w:p>
    <w:p>
      <w:pPr>
        <w:pStyle w:val="1015"/>
        <w:numPr>
          <w:ilvl w:val="0"/>
          <w:numId w:val="0"/>
        </w:numPr>
        <w:keepLines/>
        <w:keepNext/>
        <w:pageBreakBefore w:val="0"/>
        <w:spacing w:line="240" w:lineRule="exact"/>
        <w:widowControl w:val="off"/>
        <w:rPr>
          <w:rFonts w:hint="eastAsia" w:hAnsi="宋体"/>
          <w:b w:val="0"/>
          <w:color w:val="auto"/>
          <w:highlight w:val="none"/>
        </w:rPr>
      </w:pPr>
      <w:r>
        <w:rPr>
          <w:rFonts w:hint="eastAsia" w:hAnsi="宋体"/>
          <w:b w:val="0"/>
          <w:color w:val="auto"/>
          <w:highlight w:val="none"/>
        </w:rPr>
      </w:r>
      <w:r/>
    </w:p>
    <w:p>
      <w:pPr>
        <w:pStyle w:val="1015"/>
        <w:numPr>
          <w:ilvl w:val="0"/>
          <w:numId w:val="0"/>
        </w:numPr>
        <w:rPr>
          <w:rFonts w:hint="eastAsia"/>
          <w:color w:val="auto"/>
          <w:highlight w:val="none"/>
        </w:rPr>
      </w:pPr>
      <w:r/>
      <w:bookmarkStart w:id="17" w:name="_Toc30423"/>
      <w:r>
        <w:rPr>
          <w:rFonts w:hint="eastAsia"/>
          <w:color w:val="auto"/>
          <w:highlight w:val="none"/>
        </w:rPr>
        <w:t xml:space="preserve">第</w:t>
      </w:r>
      <w:r>
        <w:rPr>
          <w:rFonts w:hint="eastAsia"/>
          <w:color w:val="auto"/>
          <w:highlight w:val="none"/>
          <w:lang w:eastAsia="zh-CN"/>
        </w:rPr>
        <w:t xml:space="preserve">五</w:t>
      </w:r>
      <w:r>
        <w:rPr>
          <w:rFonts w:hint="eastAsia"/>
          <w:color w:val="auto"/>
          <w:highlight w:val="none"/>
        </w:rPr>
        <w:t xml:space="preserve">章  评标办法</w:t>
      </w:r>
      <w:bookmarkEnd w:id="17"/>
      <w:r/>
      <w:r/>
    </w:p>
    <w:p>
      <w:pPr>
        <w:ind w:firstLine="482"/>
        <w:widowControl/>
        <w:rPr>
          <w:rFonts w:hint="eastAsia" w:ascii="宋体" w:hAnsi="宋体"/>
          <w:b/>
          <w:color w:val="auto"/>
          <w:sz w:val="24"/>
          <w:highlight w:val="none"/>
        </w:rPr>
      </w:pPr>
      <w:r>
        <w:rPr>
          <w:rFonts w:hint="eastAsia" w:ascii="宋体" w:hAnsi="宋体"/>
          <w:b/>
          <w:color w:val="auto"/>
          <w:sz w:val="24"/>
          <w:highlight w:val="none"/>
        </w:rPr>
        <w:t xml:space="preserve">一、评标方法：综合评分法</w:t>
      </w:r>
      <w:r/>
    </w:p>
    <w:p>
      <w:pPr>
        <w:ind w:firstLine="480"/>
        <w:widowControl/>
        <w:rPr>
          <w:rFonts w:hint="eastAsia" w:ascii="宋体" w:hAnsi="宋体"/>
          <w:color w:val="auto"/>
          <w:sz w:val="24"/>
          <w:highlight w:val="none"/>
        </w:rPr>
      </w:pPr>
      <w:r>
        <w:rPr>
          <w:rFonts w:hint="eastAsia" w:ascii="宋体" w:hAnsi="宋体"/>
          <w:color w:val="auto"/>
          <w:sz w:val="24"/>
          <w:highlight w:val="none"/>
        </w:rPr>
        <w:t xml:space="preserve">综合评分法，是指投标文件满足招标文件全部实质性要求，且按照评审因素的量化指标评审得分最高的投标人为中标候选人的评标办法。</w:t>
      </w:r>
      <w:r/>
    </w:p>
    <w:p>
      <w:pPr>
        <w:ind w:firstLine="482"/>
        <w:widowControl/>
        <w:rPr>
          <w:rFonts w:hint="eastAsia" w:ascii="宋体" w:hAnsi="宋体"/>
          <w:b/>
          <w:color w:val="auto"/>
          <w:sz w:val="24"/>
          <w:highlight w:val="none"/>
        </w:rPr>
      </w:pPr>
      <w:r>
        <w:rPr>
          <w:rFonts w:hint="eastAsia" w:ascii="宋体" w:hAnsi="宋体"/>
          <w:b/>
          <w:color w:val="auto"/>
          <w:sz w:val="24"/>
          <w:highlight w:val="none"/>
        </w:rPr>
        <w:t xml:space="preserve">二、评标委员会构成：</w:t>
      </w:r>
      <w:r/>
    </w:p>
    <w:p>
      <w:pPr>
        <w:ind w:firstLine="480"/>
        <w:rPr>
          <w:rFonts w:ascii="宋体" w:hAnsi="宋体"/>
          <w:color w:val="auto"/>
          <w:sz w:val="24"/>
          <w:highlight w:val="none"/>
        </w:rPr>
      </w:pPr>
      <w:r>
        <w:rPr>
          <w:rFonts w:hint="eastAsia" w:ascii="宋体" w:hAnsi="宋体"/>
          <w:bCs/>
          <w:color w:val="auto"/>
          <w:sz w:val="24"/>
          <w:highlight w:val="none"/>
        </w:rPr>
        <w:t xml:space="preserve">本采购项目评标委员会的评委由采购人代表和评审专家组成。</w:t>
      </w:r>
      <w:r/>
    </w:p>
    <w:p>
      <w:pPr>
        <w:ind w:firstLine="482"/>
        <w:rPr>
          <w:rFonts w:ascii="宋体" w:hAnsi="宋体"/>
          <w:b/>
          <w:color w:val="auto"/>
          <w:sz w:val="24"/>
          <w:highlight w:val="none"/>
        </w:rPr>
      </w:pPr>
      <w:r>
        <w:rPr>
          <w:rFonts w:hint="eastAsia" w:ascii="宋体" w:hAnsi="宋体"/>
          <w:b/>
          <w:color w:val="auto"/>
          <w:sz w:val="24"/>
          <w:highlight w:val="none"/>
        </w:rPr>
        <w:t xml:space="preserve">三、</w:t>
      </w:r>
      <w:r>
        <w:rPr>
          <w:rFonts w:hint="eastAsia" w:ascii="宋体" w:hAnsi="宋体"/>
          <w:b/>
          <w:bCs/>
          <w:color w:val="auto"/>
          <w:sz w:val="24"/>
          <w:highlight w:val="none"/>
        </w:rPr>
        <w:t xml:space="preserve">评标原则</w:t>
      </w:r>
      <w:r>
        <w:rPr>
          <w:rFonts w:hint="eastAsia" w:ascii="宋体" w:hAnsi="宋体"/>
          <w:b/>
          <w:color w:val="auto"/>
          <w:sz w:val="24"/>
          <w:highlight w:val="none"/>
        </w:rPr>
        <w:t xml:space="preserve">：</w:t>
      </w:r>
      <w:r/>
    </w:p>
    <w:p>
      <w:pPr>
        <w:ind w:firstLine="480"/>
        <w:rPr>
          <w:rFonts w:ascii="宋体" w:hAnsi="宋体"/>
          <w:color w:val="auto"/>
          <w:sz w:val="24"/>
          <w:highlight w:val="none"/>
        </w:rPr>
      </w:pPr>
      <w:r>
        <w:rPr>
          <w:rFonts w:hint="eastAsia" w:ascii="宋体" w:hAnsi="宋体"/>
          <w:color w:val="auto"/>
          <w:sz w:val="24"/>
          <w:highlight w:val="none"/>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firstLine="482"/>
        <w:rPr>
          <w:rFonts w:ascii="宋体" w:hAnsi="宋体"/>
          <w:b/>
          <w:color w:val="auto"/>
          <w:sz w:val="24"/>
          <w:highlight w:val="none"/>
        </w:rPr>
      </w:pPr>
      <w:r>
        <w:rPr>
          <w:rFonts w:hint="eastAsia" w:ascii="宋体" w:hAnsi="宋体"/>
          <w:b/>
          <w:color w:val="auto"/>
          <w:sz w:val="24"/>
          <w:highlight w:val="none"/>
        </w:rPr>
        <w:t xml:space="preserve">四、</w:t>
      </w:r>
      <w:r>
        <w:rPr>
          <w:rFonts w:hint="eastAsia" w:ascii="宋体" w:hAnsi="宋体"/>
          <w:b/>
          <w:bCs/>
          <w:color w:val="auto"/>
          <w:sz w:val="24"/>
          <w:highlight w:val="none"/>
        </w:rPr>
        <w:t xml:space="preserve">评标标准</w:t>
      </w:r>
      <w:r>
        <w:rPr>
          <w:rFonts w:hint="eastAsia" w:ascii="宋体" w:hAnsi="宋体"/>
          <w:b/>
          <w:color w:val="auto"/>
          <w:sz w:val="24"/>
          <w:highlight w:val="none"/>
        </w:rPr>
        <w:t xml:space="preserve">：</w:t>
      </w:r>
      <w:r/>
    </w:p>
    <w:p>
      <w:pPr>
        <w:ind w:firstLine="480"/>
        <w:rPr>
          <w:rFonts w:ascii="宋体" w:hAnsi="宋体"/>
          <w:color w:val="auto"/>
          <w:sz w:val="24"/>
          <w:highlight w:val="none"/>
        </w:rPr>
      </w:pPr>
      <w:r>
        <w:rPr>
          <w:rFonts w:hint="eastAsia" w:ascii="宋体" w:hAnsi="宋体"/>
          <w:color w:val="auto"/>
          <w:sz w:val="24"/>
          <w:highlight w:val="none"/>
        </w:rPr>
        <w:t xml:space="preserve">（一）评标时，评标委员会以招标文件为评标依据，评标委员会各成员独立对每个投标人的投标文件进行评价，并汇总每个投标人的得分。评标过程中，不得去掉报价中的最高报价和最低报价。</w:t>
      </w:r>
      <w:r/>
    </w:p>
    <w:p>
      <w:pPr>
        <w:ind w:firstLine="480"/>
        <w:rPr>
          <w:rFonts w:ascii="宋体" w:hAnsi="宋体"/>
          <w:color w:val="auto"/>
          <w:sz w:val="24"/>
          <w:highlight w:val="none"/>
        </w:rPr>
      </w:pPr>
      <w:r>
        <w:rPr>
          <w:rFonts w:hint="eastAsia" w:ascii="宋体" w:hAnsi="宋体"/>
          <w:color w:val="auto"/>
          <w:sz w:val="24"/>
          <w:highlight w:val="none"/>
        </w:rPr>
        <w:t xml:space="preserve">（二）本项目评分总分为100分，按四舍五入取至小数点后两位。</w:t>
      </w:r>
      <w:r/>
    </w:p>
    <w:p>
      <w:pPr>
        <w:ind w:firstLine="480"/>
        <w:rPr>
          <w:rFonts w:hint="eastAsia" w:ascii="宋体" w:hAnsi="宋体"/>
          <w:color w:val="auto"/>
          <w:sz w:val="24"/>
          <w:highlight w:val="none"/>
        </w:rPr>
      </w:pPr>
      <w:r>
        <w:rPr>
          <w:rFonts w:hint="eastAsia" w:ascii="宋体" w:hAnsi="宋体"/>
          <w:color w:val="auto"/>
          <w:sz w:val="24"/>
          <w:highlight w:val="none"/>
        </w:rPr>
        <w:t xml:space="preserve">（三）总得分=价格分+商务技术分。</w:t>
      </w:r>
      <w:r/>
    </w:p>
    <w:p>
      <w:pPr>
        <w:ind w:firstLine="482"/>
        <w:rPr>
          <w:rFonts w:hint="eastAsia" w:ascii="宋体" w:hAnsi="宋体"/>
          <w:b/>
          <w:bCs/>
          <w:color w:val="auto"/>
          <w:sz w:val="24"/>
          <w:highlight w:val="none"/>
        </w:rPr>
      </w:pPr>
      <w:r>
        <w:rPr>
          <w:rFonts w:hint="eastAsia" w:ascii="宋体" w:hAnsi="宋体"/>
          <w:b/>
          <w:bCs/>
          <w:color w:val="auto"/>
          <w:sz w:val="24"/>
          <w:highlight w:val="none"/>
        </w:rPr>
        <w:t xml:space="preserve">五、中标标准：</w:t>
      </w:r>
      <w:r/>
    </w:p>
    <w:p>
      <w:pPr>
        <w:ind w:firstLine="480"/>
        <w:rPr>
          <w:color w:val="auto"/>
          <w:highlight w:val="none"/>
        </w:rPr>
      </w:pPr>
      <w:r>
        <w:rPr>
          <w:rFonts w:hint="eastAsia" w:ascii="宋体" w:hAnsi="宋体"/>
          <w:color w:val="auto"/>
          <w:sz w:val="24"/>
          <w:highlight w:val="none"/>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602"/>
        <w:jc w:val="center"/>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color w:val="auto"/>
          <w:sz w:val="30"/>
          <w:szCs w:val="30"/>
          <w:highlight w:val="none"/>
        </w:rPr>
      </w:pPr>
      <w:r>
        <w:rPr>
          <w:rFonts w:hint="eastAsia" w:ascii="宋体" w:hAnsi="宋体"/>
          <w:b/>
          <w:color w:val="auto"/>
          <w:sz w:val="30"/>
          <w:szCs w:val="30"/>
          <w:highlight w:val="none"/>
        </w:rPr>
        <w:t xml:space="preserve">综合评分法</w:t>
      </w:r>
      <w:r/>
    </w:p>
    <w:p>
      <w:pPr>
        <w:ind w:left="0" w:firstLine="0"/>
        <w:rPr>
          <w:rFonts w:ascii="宋体"/>
          <w:b/>
          <w:color w:val="auto"/>
          <w:sz w:val="24"/>
          <w:highlight w:val="none"/>
        </w:rPr>
      </w:pPr>
      <w:r>
        <w:rPr>
          <w:rFonts w:hint="eastAsia" w:ascii="宋体"/>
          <w:b/>
          <w:color w:val="auto"/>
          <w:sz w:val="24"/>
          <w:highlight w:val="none"/>
        </w:rPr>
        <w:t xml:space="preserve">1.价格分（</w:t>
      </w:r>
      <w:r>
        <w:rPr>
          <w:rFonts w:hint="eastAsia" w:ascii="宋体"/>
          <w:b/>
          <w:color w:val="auto"/>
          <w:sz w:val="24"/>
          <w:highlight w:val="none"/>
          <w:lang w:val="en-US" w:eastAsia="zh-CN"/>
        </w:rPr>
        <w:t xml:space="preserve">4</w:t>
      </w:r>
      <w:r>
        <w:rPr>
          <w:rFonts w:hint="eastAsia" w:ascii="宋体"/>
          <w:b/>
          <w:color w:val="auto"/>
          <w:sz w:val="24"/>
          <w:highlight w:val="none"/>
        </w:rPr>
        <w:t xml:space="preserve">0分）</w:t>
      </w:r>
      <w:r/>
    </w:p>
    <w:p>
      <w:pPr>
        <w:ind w:firstLine="480"/>
        <w:rPr>
          <w:rFonts w:ascii="宋体" w:hAnsi="宋体"/>
          <w:color w:val="auto"/>
          <w:sz w:val="24"/>
          <w:highlight w:val="none"/>
        </w:rPr>
      </w:pPr>
      <w:r>
        <w:rPr>
          <w:rFonts w:hint="eastAsia" w:ascii="宋体" w:hAnsi="宋体"/>
          <w:color w:val="auto"/>
          <w:sz w:val="24"/>
          <w:highlight w:val="none"/>
        </w:rPr>
        <w:t xml:space="preserve">采用低价优先法计算，即满足招标文件要求且投标价格最低的投标报价为评标基准价，其价格分为满分。其他投标人的价格分统一按照下列公式计算：</w:t>
      </w:r>
      <w:r/>
    </w:p>
    <w:p>
      <w:pPr>
        <w:ind w:firstLine="480"/>
        <w:rPr>
          <w:rFonts w:ascii="宋体" w:hAnsi="宋体"/>
          <w:color w:val="auto"/>
          <w:sz w:val="24"/>
          <w:highlight w:val="none"/>
        </w:rPr>
      </w:pPr>
      <w:r>
        <w:rPr>
          <w:rFonts w:hint="eastAsia" w:ascii="宋体" w:hAnsi="宋体"/>
          <w:color w:val="auto"/>
          <w:sz w:val="24"/>
          <w:highlight w:val="none"/>
        </w:rPr>
        <w:t xml:space="preserve">投标报价得分=（评标基准价/投标报价）×</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0分</w:t>
      </w:r>
      <w:r/>
    </w:p>
    <w:p>
      <w:pPr>
        <w:ind w:firstLine="480"/>
        <w:rPr>
          <w:rFonts w:ascii="宋体" w:hAnsi="宋体"/>
          <w:color w:val="auto"/>
          <w:sz w:val="24"/>
          <w:highlight w:val="none"/>
        </w:rPr>
      </w:pPr>
      <w:r>
        <w:rPr>
          <w:rFonts w:hint="eastAsia" w:ascii="宋体"/>
          <w:color w:val="auto"/>
          <w:sz w:val="24"/>
          <w:highlight w:val="none"/>
        </w:rPr>
        <w:t xml:space="preserve">因落</w:t>
      </w:r>
      <w:r>
        <w:rPr>
          <w:rFonts w:hint="eastAsia" w:ascii="宋体" w:hAnsi="宋体"/>
          <w:color w:val="auto"/>
          <w:sz w:val="24"/>
          <w:highlight w:val="none"/>
        </w:rPr>
        <w:t xml:space="preserve">实政府采购政策进行价格调整的，以调整后的价格计算评标基准价和投标报价，小数点后保留两位。</w:t>
      </w:r>
      <w:r/>
    </w:p>
    <w:p>
      <w:pPr>
        <w:numPr>
          <w:ilvl w:val="0"/>
          <w:numId w:val="4"/>
        </w:numPr>
        <w:ind w:left="0" w:firstLine="0"/>
        <w:rPr>
          <w:rFonts w:hint="eastAsia" w:ascii="宋体" w:hAnsi="宋体"/>
          <w:b/>
          <w:color w:val="auto"/>
          <w:sz w:val="24"/>
          <w:highlight w:val="none"/>
        </w:rPr>
      </w:pPr>
      <w:r>
        <w:rPr>
          <w:rFonts w:hint="eastAsia" w:ascii="宋体" w:hAnsi="宋体"/>
          <w:b/>
          <w:color w:val="auto"/>
          <w:sz w:val="24"/>
          <w:highlight w:val="none"/>
        </w:rPr>
        <w:t xml:space="preserve">商务技术分（</w:t>
      </w:r>
      <w:r>
        <w:rPr>
          <w:rFonts w:hint="eastAsia" w:ascii="宋体" w:hAnsi="宋体"/>
          <w:b/>
          <w:color w:val="auto"/>
          <w:sz w:val="24"/>
          <w:highlight w:val="none"/>
          <w:lang w:val="en-US" w:eastAsia="zh-CN"/>
        </w:rPr>
        <w:t xml:space="preserve">6</w:t>
      </w:r>
      <w:r>
        <w:rPr>
          <w:rFonts w:hint="eastAsia" w:ascii="宋体" w:hAnsi="宋体"/>
          <w:b/>
          <w:color w:val="auto"/>
          <w:sz w:val="24"/>
          <w:highlight w:val="none"/>
        </w:rPr>
        <w:t xml:space="preserve">0分）</w:t>
      </w:r>
      <w:r/>
    </w:p>
    <w:p>
      <w:pPr>
        <w:pStyle w:val="845"/>
        <w:numPr>
          <w:ilvl w:val="0"/>
          <w:numId w:val="0"/>
        </w:numPr>
        <w:rPr>
          <w:rFonts w:hint="eastAsia"/>
          <w:color w:val="auto"/>
          <w:highlight w:val="none"/>
        </w:rPr>
      </w:pPr>
      <w:r>
        <w:rPr>
          <w:rFonts w:hint="eastAsia"/>
          <w:color w:val="auto"/>
          <w:highlight w:val="none"/>
        </w:rPr>
      </w:r>
      <w:r/>
    </w:p>
    <w:p>
      <w:pPr>
        <w:ind w:left="0" w:firstLine="0"/>
        <w:jc w:val="left"/>
        <w:keepLines w:val="0"/>
        <w:keepNext w:val="0"/>
        <w:pageBreakBefore w:val="0"/>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eastAsia="宋体"/>
          <w:color w:val="auto"/>
          <w:sz w:val="24"/>
          <w:highlight w:val="none"/>
          <w:lang w:val="en-US" w:eastAsia="zh-CN"/>
        </w:rPr>
      </w:pPr>
      <w:r>
        <w:rPr>
          <w:rFonts w:eastAsia="宋体"/>
          <w:color w:val="auto"/>
          <w:sz w:val="24"/>
          <w:highlight w:val="none"/>
          <w:lang w:val="en-US" w:eastAsia="zh-CN"/>
        </w:rPr>
      </w:r>
      <w:r/>
    </w:p>
    <w:tbl>
      <w:tblPr>
        <w:tblStyle w:val="84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21"/>
        <w:gridCol w:w="6575"/>
        <w:gridCol w:w="1430"/>
      </w:tblGrid>
      <w:tr>
        <w:trPr>
          <w:jc w:val="center"/>
          <w:trHeight w:val="474"/>
        </w:trPr>
        <w:tc>
          <w:tcPr>
            <w:tcW w:w="1621" w:type="dxa"/>
            <w:vAlign w:val="center"/>
            <w:textDirection w:val="lrTb"/>
            <w:noWrap w:val="false"/>
          </w:tcPr>
          <w:p>
            <w:pPr>
              <w:ind w:firstLine="240"/>
              <w:rPr>
                <w:rFonts w:hint="eastAsia" w:ascii="宋体" w:hAnsi="宋体" w:cs="宋体"/>
                <w:color w:val="auto"/>
                <w:sz w:val="24"/>
                <w:highlight w:val="none"/>
              </w:rPr>
            </w:pPr>
            <w:r>
              <w:rPr>
                <w:rFonts w:hint="eastAsia" w:ascii="宋体" w:hAnsi="宋体" w:cs="宋体"/>
                <w:color w:val="auto"/>
                <w:sz w:val="24"/>
                <w:highlight w:val="none"/>
              </w:rPr>
              <w:t xml:space="preserve">序号</w:t>
            </w:r>
            <w:r/>
          </w:p>
        </w:tc>
        <w:tc>
          <w:tcPr>
            <w:tcW w:w="6575" w:type="dxa"/>
            <w:vAlign w:val="center"/>
            <w:textDirection w:val="lrTb"/>
            <w:noWrap w:val="false"/>
          </w:tcPr>
          <w:p>
            <w:pPr>
              <w:ind w:firstLine="482"/>
              <w:jc w:val="center"/>
              <w:rPr>
                <w:rFonts w:hint="eastAsia" w:ascii="宋体" w:hAnsi="宋体" w:cs="宋体"/>
                <w:b/>
                <w:color w:val="auto"/>
                <w:sz w:val="24"/>
                <w:highlight w:val="none"/>
              </w:rPr>
            </w:pPr>
            <w:r>
              <w:rPr>
                <w:rFonts w:hint="eastAsia" w:ascii="宋体" w:hAnsi="宋体" w:cs="宋体"/>
                <w:b/>
                <w:color w:val="auto"/>
                <w:sz w:val="24"/>
                <w:highlight w:val="none"/>
              </w:rPr>
              <w:t xml:space="preserve">打分办法</w:t>
            </w:r>
            <w:r/>
          </w:p>
        </w:tc>
        <w:tc>
          <w:tcPr>
            <w:tcW w:w="1430" w:type="dxa"/>
            <w:vAlign w:val="center"/>
            <w:textDirection w:val="lrTb"/>
            <w:noWrap w:val="false"/>
          </w:tcPr>
          <w:p>
            <w:pPr>
              <w:ind w:firstLine="240"/>
              <w:rPr>
                <w:rFonts w:hint="eastAsia" w:ascii="宋体" w:hAnsi="宋体" w:cs="宋体"/>
                <w:bCs/>
                <w:color w:val="auto"/>
                <w:sz w:val="24"/>
                <w:highlight w:val="none"/>
              </w:rPr>
            </w:pPr>
            <w:r>
              <w:rPr>
                <w:rFonts w:hint="eastAsia" w:ascii="宋体" w:hAnsi="宋体" w:cs="宋体"/>
                <w:bCs/>
                <w:color w:val="auto"/>
                <w:sz w:val="24"/>
                <w:highlight w:val="none"/>
              </w:rPr>
              <w:t xml:space="preserve">得分</w:t>
            </w:r>
            <w:r/>
          </w:p>
        </w:tc>
      </w:tr>
      <w:tr>
        <w:trPr>
          <w:jc w:val="center"/>
          <w:trHeight w:val="90"/>
        </w:trPr>
        <w:tc>
          <w:tcPr>
            <w:tcW w:w="1621" w:type="dxa"/>
            <w:vAlign w:val="center"/>
            <w:vMerge w:val="restart"/>
            <w:textDirection w:val="lrTb"/>
            <w:noWrap w:val="false"/>
          </w:tcPr>
          <w:p>
            <w:pPr>
              <w:ind w:right="-59" w:firstLine="482"/>
              <w:keepLines w:val="0"/>
              <w:keepNext w:val="0"/>
              <w:pageBreakBefore w:val="0"/>
              <w:spacing w:line="4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技术</w:t>
            </w:r>
            <w:r/>
          </w:p>
          <w:p>
            <w:pPr>
              <w:ind w:firstLine="482"/>
              <w:keepLines w:val="0"/>
              <w:keepNext w:val="0"/>
              <w:pageBreakBefore w:val="0"/>
              <w:spacing w:line="400" w:lineRule="exact"/>
              <w:rPr>
                <w:rFonts w:hint="eastAsia" w:ascii="宋体" w:hAnsi="宋体" w:cs="宋体"/>
                <w:b/>
                <w:color w:val="auto"/>
                <w:sz w:val="24"/>
                <w:highlight w:val="none"/>
                <w:lang w:eastAsia="zh-CN"/>
              </w:rPr>
            </w:pPr>
            <w:r>
              <w:rPr>
                <w:rFonts w:hint="eastAsia" w:ascii="宋体" w:hAnsi="宋体" w:cs="宋体"/>
                <w:b/>
                <w:color w:val="auto"/>
                <w:sz w:val="24"/>
                <w:highlight w:val="none"/>
                <w:lang w:eastAsia="zh-CN"/>
              </w:rPr>
              <w:t xml:space="preserve">部分</w:t>
            </w:r>
            <w:r/>
          </w:p>
          <w:p>
            <w:pPr>
              <w:ind w:firstLine="241"/>
              <w:keepLines w:val="0"/>
              <w:keepNext w:val="0"/>
              <w:pageBreakBefore w:val="0"/>
              <w:spacing w:line="400" w:lineRule="exact"/>
              <w:rPr>
                <w:rFonts w:hint="eastAsia" w:ascii="宋体" w:hAnsi="宋体" w:cs="宋体"/>
                <w:color w:val="auto"/>
                <w:sz w:val="24"/>
                <w:highlight w:val="none"/>
              </w:rPr>
            </w:pPr>
            <w:r>
              <w:rPr>
                <w:rFonts w:hint="eastAsia" w:ascii="宋体" w:hAnsi="宋体" w:cs="宋体"/>
                <w:b/>
                <w:color w:val="auto"/>
                <w:sz w:val="24"/>
                <w:highlight w:val="none"/>
              </w:rPr>
              <w:t xml:space="preserve">（</w:t>
            </w:r>
            <w:r>
              <w:rPr>
                <w:rFonts w:hint="eastAsia" w:ascii="宋体" w:hAnsi="宋体" w:cs="宋体"/>
                <w:b/>
                <w:color w:val="auto"/>
                <w:sz w:val="24"/>
                <w:highlight w:val="none"/>
                <w:lang w:val="en-US" w:eastAsia="zh-CN"/>
              </w:rPr>
              <w:t xml:space="preserve">40</w:t>
            </w:r>
            <w:r>
              <w:rPr>
                <w:rFonts w:hint="eastAsia" w:ascii="宋体" w:hAnsi="宋体" w:cs="宋体"/>
                <w:b/>
                <w:color w:val="auto"/>
                <w:sz w:val="24"/>
                <w:highlight w:val="none"/>
              </w:rPr>
              <w:t xml:space="preserve">分）</w:t>
            </w:r>
            <w:r/>
          </w:p>
        </w:tc>
        <w:tc>
          <w:tcPr>
            <w:tcW w:w="6575" w:type="dxa"/>
            <w:vAlign w:val="center"/>
            <w:textDirection w:val="lrTb"/>
            <w:noWrap w:val="false"/>
          </w:tcPr>
          <w:p>
            <w:pPr>
              <w:ind w:left="0" w:firstLine="0"/>
              <w:keepLines w:val="0"/>
              <w:keepNext w:val="0"/>
              <w:pageBreakBefore w:val="0"/>
              <w:spacing w:line="3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技术要求</w:t>
            </w:r>
            <w:r>
              <w:rPr>
                <w:rFonts w:hint="eastAsia" w:ascii="宋体" w:hAnsi="宋体" w:eastAsia="宋体" w:cs="宋体"/>
                <w:b/>
                <w:bCs/>
                <w:color w:val="auto"/>
                <w:sz w:val="24"/>
                <w:szCs w:val="24"/>
                <w:highlight w:val="none"/>
                <w:lang w:eastAsia="zh-CN"/>
              </w:rPr>
              <w:t xml:space="preserve">响应</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34</w:t>
            </w:r>
            <w:r>
              <w:rPr>
                <w:rFonts w:hint="eastAsia" w:ascii="宋体" w:hAnsi="宋体" w:eastAsia="宋体" w:cs="宋体"/>
                <w:b/>
                <w:bCs/>
                <w:color w:val="auto"/>
                <w:sz w:val="24"/>
                <w:szCs w:val="24"/>
                <w:highlight w:val="none"/>
              </w:rPr>
              <w:t xml:space="preserve">分）</w:t>
            </w:r>
            <w:r/>
          </w:p>
          <w:p>
            <w:pPr>
              <w:ind w:firstLine="480"/>
              <w:keepLines w:val="0"/>
              <w:keepNext w:val="0"/>
              <w:pageBreakBefore w:val="0"/>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产品技术参数全部满足项目需求中要求的得满分</w:t>
            </w:r>
            <w:r>
              <w:rPr>
                <w:rFonts w:hint="eastAsia" w:ascii="宋体" w:hAnsi="宋体" w:eastAsia="宋体" w:cs="宋体"/>
                <w:color w:val="auto"/>
                <w:sz w:val="24"/>
                <w:szCs w:val="24"/>
                <w:highlight w:val="none"/>
                <w:lang w:val="en-US" w:eastAsia="zh-CN"/>
              </w:rPr>
              <w:t xml:space="preserve">34</w:t>
            </w:r>
            <w:r>
              <w:rPr>
                <w:rFonts w:hint="eastAsia" w:ascii="宋体" w:hAnsi="宋体" w:eastAsia="宋体" w:cs="宋体"/>
                <w:color w:val="auto"/>
                <w:sz w:val="24"/>
                <w:szCs w:val="24"/>
                <w:highlight w:val="none"/>
              </w:rPr>
              <w:t xml:space="preserve">分；▲号项为重点项，如有负偏离,每个扣</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bCs/>
                <w:color w:val="auto"/>
                <w:spacing w:val="-12"/>
                <w:sz w:val="24"/>
                <w:szCs w:val="24"/>
                <w:highlight w:val="none"/>
              </w:rPr>
              <w:t xml:space="preserve">非“▲”号项</w:t>
            </w:r>
            <w:r>
              <w:rPr>
                <w:rFonts w:hint="eastAsia" w:ascii="宋体" w:hAnsi="宋体" w:eastAsia="宋体" w:cs="宋体"/>
                <w:color w:val="auto"/>
                <w:sz w:val="24"/>
                <w:szCs w:val="24"/>
                <w:highlight w:val="none"/>
              </w:rPr>
              <w:t xml:space="preserve">如有负偏离</w:t>
            </w:r>
            <w:r>
              <w:rPr>
                <w:rFonts w:hint="eastAsia" w:ascii="宋体" w:hAnsi="宋体" w:eastAsia="宋体" w:cs="宋体"/>
                <w:bCs/>
                <w:color w:val="auto"/>
                <w:spacing w:val="-12"/>
                <w:sz w:val="24"/>
                <w:szCs w:val="24"/>
                <w:highlight w:val="none"/>
              </w:rPr>
              <w:t xml:space="preserve">的，每有一项扣减</w:t>
            </w:r>
            <w:r>
              <w:rPr>
                <w:rFonts w:hint="eastAsia" w:ascii="宋体" w:hAnsi="宋体" w:eastAsia="宋体" w:cs="宋体"/>
                <w:bCs/>
                <w:color w:val="auto"/>
                <w:spacing w:val="-12"/>
                <w:sz w:val="24"/>
                <w:szCs w:val="24"/>
                <w:highlight w:val="none"/>
                <w:lang w:val="en-US" w:eastAsia="zh-CN"/>
              </w:rPr>
              <w:t xml:space="preserve">1</w:t>
            </w:r>
            <w:r>
              <w:rPr>
                <w:rFonts w:hint="eastAsia" w:ascii="宋体" w:hAnsi="宋体" w:eastAsia="宋体" w:cs="宋体"/>
                <w:bCs/>
                <w:color w:val="auto"/>
                <w:spacing w:val="-12"/>
                <w:sz w:val="24"/>
                <w:szCs w:val="24"/>
                <w:highlight w:val="none"/>
              </w:rPr>
              <w:t xml:space="preserve">分；</w:t>
            </w:r>
            <w:r>
              <w:rPr>
                <w:rFonts w:hint="eastAsia" w:ascii="宋体" w:hAnsi="宋体" w:eastAsia="宋体" w:cs="宋体"/>
                <w:color w:val="auto"/>
                <w:sz w:val="24"/>
                <w:szCs w:val="24"/>
                <w:highlight w:val="none"/>
              </w:rPr>
              <w:t xml:space="preserve">本项扣完为止</w:t>
            </w:r>
            <w:r>
              <w:rPr>
                <w:rFonts w:hint="eastAsia" w:ascii="宋体" w:hAnsi="宋体" w:eastAsia="宋体" w:cs="宋体"/>
                <w:color w:val="auto"/>
                <w:sz w:val="24"/>
                <w:szCs w:val="24"/>
                <w:highlight w:val="none"/>
              </w:rPr>
              <w:t xml:space="preserve">。</w:t>
            </w:r>
            <w:r/>
          </w:p>
          <w:p>
            <w:pPr>
              <w:ind w:firstLine="482"/>
              <w:keepLines w:val="0"/>
              <w:keepNext w:val="0"/>
              <w:pageBreakBefore w:val="0"/>
              <w:spacing w:line="400" w:lineRule="exact"/>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szCs w:val="24"/>
                <w:highlight w:val="none"/>
              </w:rPr>
              <w:t xml:space="preserve">注：证明材料按项目需求中要求提供证明材料，未提供或未按要求提供此项不得分。</w:t>
            </w:r>
            <w:r/>
          </w:p>
        </w:tc>
        <w:tc>
          <w:tcPr>
            <w:tcW w:w="1430" w:type="dxa"/>
            <w:vAlign w:val="center"/>
            <w:textDirection w:val="lrTb"/>
            <w:noWrap w:val="false"/>
          </w:tcPr>
          <w:p>
            <w:pPr>
              <w:ind w:firstLine="480"/>
              <w:keepLines w:val="0"/>
              <w:keepNext w:val="0"/>
              <w:pageBreakBefore w:val="0"/>
              <w:spacing w:line="400" w:lineRule="exact"/>
              <w:rPr>
                <w:rFonts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34</w:t>
            </w:r>
            <w:r/>
          </w:p>
        </w:tc>
      </w:tr>
      <w:tr>
        <w:trPr>
          <w:jc w:val="center"/>
          <w:trHeight w:val="1118"/>
        </w:trPr>
        <w:tc>
          <w:tcPr>
            <w:tcW w:w="1621" w:type="dxa"/>
            <w:vAlign w:val="center"/>
            <w:vMerge w:val="continue"/>
            <w:textDirection w:val="lrTb"/>
            <w:noWrap w:val="false"/>
          </w:tcPr>
          <w:p>
            <w:pPr>
              <w:ind w:left="1260" w:firstLine="420"/>
              <w:jc w:val="both"/>
              <w:keepLines w:val="0"/>
              <w:keepNext w:val="0"/>
              <w:pageBreakBefore w:val="0"/>
              <w:spacing w:before="166" w:after="166" w:line="400" w:lineRule="exact"/>
              <w:widowControl w:val="off"/>
              <w:tabs>
                <w:tab w:val="left" w:pos="1440" w:leader="none"/>
                <w:tab w:val="right" w:pos="8505" w:leader="dot"/>
              </w:tabs>
              <w:rPr>
                <w:rFonts w:hint="default" w:ascii="Times New Roman" w:hAnsi="Times New Roman" w:eastAsia="宋体" w:cs="Times New Roman"/>
                <w:color w:val="auto"/>
                <w:sz w:val="21"/>
                <w:szCs w:val="24"/>
                <w:highlight w:val="none"/>
                <w:lang w:val="en-US" w:eastAsia="zh-CN" w:bidi="ar-SA"/>
              </w:rPr>
            </w:pPr>
            <w:r>
              <w:rPr>
                <w:rFonts w:hint="default" w:ascii="Times New Roman" w:hAnsi="Times New Roman" w:eastAsia="宋体" w:cs="Times New Roman"/>
                <w:color w:val="auto"/>
                <w:sz w:val="21"/>
                <w:szCs w:val="24"/>
                <w:highlight w:val="none"/>
                <w:lang w:val="en-US" w:eastAsia="zh-CN" w:bidi="ar-SA"/>
              </w:rPr>
            </w:r>
            <w:r/>
          </w:p>
        </w:tc>
        <w:tc>
          <w:tcPr>
            <w:tcW w:w="6575" w:type="dxa"/>
            <w:vAlign w:val="center"/>
            <w:textDirection w:val="lrTb"/>
            <w:noWrap w:val="false"/>
          </w:tcPr>
          <w:p>
            <w:pPr>
              <w:ind w:left="0" w:firstLine="0"/>
              <w:keepLines w:val="0"/>
              <w:keepNext w:val="0"/>
              <w:pageBreakBefore w:val="0"/>
              <w:spacing w:line="3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进度计划和各阶段进度的保证措施 （</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分）</w:t>
            </w:r>
            <w:r/>
          </w:p>
          <w:p>
            <w:pPr>
              <w:ind w:firstLine="480"/>
              <w:keepLines w:val="0"/>
              <w:keepNext w:val="0"/>
              <w:pageBreakBefore w:val="0"/>
              <w:spacing w:line="40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供货计划及各阶段保证措施科学、合理、完善可行，有针对性、根据实际需求保证供货时间和质量，</w:t>
            </w:r>
            <w:r>
              <w:rPr>
                <w:rFonts w:hint="eastAsia" w:ascii="宋体" w:hAnsi="宋体" w:eastAsia="宋体" w:cs="宋体"/>
                <w:b/>
                <w:bCs w:val="0"/>
                <w:color w:val="auto"/>
                <w:sz w:val="24"/>
                <w:highlight w:val="none"/>
              </w:rPr>
              <w:t xml:space="preserve">得</w:t>
            </w:r>
            <w:r>
              <w:rPr>
                <w:rFonts w:hint="eastAsia" w:ascii="宋体" w:hAnsi="宋体" w:eastAsia="宋体" w:cs="宋体"/>
                <w:b/>
                <w:bCs w:val="0"/>
                <w:color w:val="auto"/>
                <w:sz w:val="24"/>
                <w:highlight w:val="none"/>
                <w:lang w:val="en-US" w:eastAsia="zh-CN"/>
              </w:rPr>
              <w:t xml:space="preserve">3</w:t>
            </w:r>
            <w:r>
              <w:rPr>
                <w:rFonts w:hint="eastAsia" w:ascii="宋体" w:hAnsi="宋体" w:eastAsia="宋体" w:cs="宋体"/>
                <w:b/>
                <w:bCs w:val="0"/>
                <w:color w:val="auto"/>
                <w:sz w:val="24"/>
                <w:highlight w:val="none"/>
              </w:rPr>
              <w:t xml:space="preserve">分</w:t>
            </w:r>
            <w:r>
              <w:rPr>
                <w:rFonts w:hint="eastAsia" w:ascii="宋体" w:hAnsi="宋体" w:eastAsia="宋体" w:cs="宋体"/>
                <w:bCs/>
                <w:color w:val="auto"/>
                <w:sz w:val="24"/>
                <w:highlight w:val="none"/>
              </w:rPr>
              <w:t xml:space="preserve">；</w:t>
            </w:r>
            <w:r/>
          </w:p>
          <w:p>
            <w:pPr>
              <w:ind w:firstLine="480"/>
              <w:keepLines w:val="0"/>
              <w:keepNext w:val="0"/>
              <w:pageBreakBefore w:val="0"/>
              <w:spacing w:line="40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供货计划及各阶段保证措施较合理可行，能保证供货的时间和质量，</w:t>
            </w:r>
            <w:r>
              <w:rPr>
                <w:rFonts w:hint="eastAsia" w:ascii="宋体" w:hAnsi="宋体" w:eastAsia="宋体" w:cs="宋体"/>
                <w:b/>
                <w:bCs w:val="0"/>
                <w:color w:val="auto"/>
                <w:sz w:val="24"/>
                <w:highlight w:val="none"/>
              </w:rPr>
              <w:t xml:space="preserve">得</w:t>
            </w:r>
            <w:r>
              <w:rPr>
                <w:rFonts w:hint="eastAsia" w:ascii="宋体" w:hAnsi="宋体" w:eastAsia="宋体" w:cs="宋体"/>
                <w:b/>
                <w:bCs w:val="0"/>
                <w:color w:val="auto"/>
                <w:sz w:val="24"/>
                <w:highlight w:val="none"/>
                <w:lang w:val="en-US" w:eastAsia="zh-CN"/>
              </w:rPr>
              <w:t xml:space="preserve">2</w:t>
            </w:r>
            <w:r>
              <w:rPr>
                <w:rFonts w:hint="eastAsia" w:ascii="宋体" w:hAnsi="宋体" w:eastAsia="宋体" w:cs="宋体"/>
                <w:b/>
                <w:bCs w:val="0"/>
                <w:color w:val="auto"/>
                <w:sz w:val="24"/>
                <w:highlight w:val="none"/>
              </w:rPr>
              <w:t xml:space="preserve">分</w:t>
            </w:r>
            <w:r>
              <w:rPr>
                <w:rFonts w:hint="eastAsia" w:ascii="宋体" w:hAnsi="宋体" w:eastAsia="宋体" w:cs="宋体"/>
                <w:bCs/>
                <w:color w:val="auto"/>
                <w:sz w:val="24"/>
                <w:highlight w:val="none"/>
              </w:rPr>
              <w:t xml:space="preserve">；</w:t>
            </w:r>
            <w:r/>
          </w:p>
          <w:p>
            <w:pPr>
              <w:ind w:firstLine="480"/>
              <w:keepLines w:val="0"/>
              <w:keepNext w:val="0"/>
              <w:pageBreakBefore w:val="0"/>
              <w:spacing w:line="40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供货计划及各阶段保证措施一般，基本能保证供货的时间和质量，</w:t>
            </w:r>
            <w:r>
              <w:rPr>
                <w:rFonts w:hint="eastAsia" w:ascii="宋体" w:hAnsi="宋体" w:eastAsia="宋体" w:cs="宋体"/>
                <w:b/>
                <w:bCs w:val="0"/>
                <w:color w:val="auto"/>
                <w:sz w:val="24"/>
                <w:highlight w:val="none"/>
              </w:rPr>
              <w:t xml:space="preserve">得</w:t>
            </w:r>
            <w:r>
              <w:rPr>
                <w:rFonts w:hint="eastAsia" w:ascii="宋体" w:hAnsi="宋体" w:eastAsia="宋体" w:cs="宋体"/>
                <w:b/>
                <w:bCs w:val="0"/>
                <w:color w:val="auto"/>
                <w:sz w:val="24"/>
                <w:highlight w:val="none"/>
                <w:lang w:val="en-US" w:eastAsia="zh-CN"/>
              </w:rPr>
              <w:t xml:space="preserve">1</w:t>
            </w:r>
            <w:r>
              <w:rPr>
                <w:rFonts w:hint="eastAsia" w:ascii="宋体" w:hAnsi="宋体" w:eastAsia="宋体" w:cs="宋体"/>
                <w:b/>
                <w:bCs w:val="0"/>
                <w:color w:val="auto"/>
                <w:sz w:val="24"/>
                <w:highlight w:val="none"/>
              </w:rPr>
              <w:t xml:space="preserve">分</w:t>
            </w:r>
            <w:r>
              <w:rPr>
                <w:rFonts w:hint="eastAsia" w:ascii="宋体" w:hAnsi="宋体" w:eastAsia="宋体" w:cs="宋体"/>
                <w:bCs/>
                <w:color w:val="auto"/>
                <w:sz w:val="24"/>
                <w:highlight w:val="none"/>
              </w:rPr>
              <w:t xml:space="preserve">；</w:t>
            </w:r>
            <w:r/>
          </w:p>
          <w:p>
            <w:pPr>
              <w:numPr>
                <w:ilvl w:val="0"/>
                <w:numId w:val="0"/>
              </w:numPr>
              <w:ind w:left="0" w:right="34" w:firstLine="482"/>
              <w:keepLines w:val="0"/>
              <w:keepNext w:val="0"/>
              <w:pageBreakBefore w:val="0"/>
              <w:spacing w:line="320" w:lineRule="exact"/>
              <w:rPr>
                <w:b/>
                <w:bCs/>
                <w:color w:val="auto"/>
                <w:sz w:val="24"/>
                <w:highlight w:val="none"/>
              </w:rPr>
            </w:pPr>
            <w:r>
              <w:rPr>
                <w:rFonts w:hint="eastAsia" w:ascii="宋体" w:hAnsi="宋体" w:eastAsia="宋体" w:cs="Times New Roman"/>
                <w:b/>
                <w:bCs/>
                <w:color w:val="auto"/>
                <w:sz w:val="24"/>
                <w:highlight w:val="none"/>
                <w:lang w:val="zh-CN" w:eastAsia="zh-CN"/>
              </w:rPr>
              <w:t xml:space="preserve">本项最高得</w:t>
            </w:r>
            <w:r>
              <w:rPr>
                <w:rFonts w:hint="eastAsia" w:ascii="宋体" w:hAnsi="宋体" w:eastAsia="宋体" w:cs="Times New Roman"/>
                <w:b/>
                <w:bCs/>
                <w:color w:val="auto"/>
                <w:sz w:val="24"/>
                <w:highlight w:val="none"/>
                <w:lang w:val="en-US" w:eastAsia="zh-CN"/>
              </w:rPr>
              <w:t xml:space="preserve">3</w:t>
            </w:r>
            <w:r>
              <w:rPr>
                <w:rFonts w:hint="eastAsia" w:ascii="宋体" w:hAnsi="宋体" w:eastAsia="宋体" w:cs="Times New Roman"/>
                <w:b/>
                <w:bCs/>
                <w:color w:val="auto"/>
                <w:sz w:val="24"/>
                <w:highlight w:val="none"/>
                <w:lang w:val="zh-CN" w:eastAsia="zh-CN"/>
              </w:rPr>
              <w:t xml:space="preserve">分，差或未见阐述本项不得分。</w:t>
            </w:r>
            <w:r/>
          </w:p>
        </w:tc>
        <w:tc>
          <w:tcPr>
            <w:tcW w:w="1430" w:type="dxa"/>
            <w:vAlign w:val="center"/>
            <w:textDirection w:val="lrTb"/>
            <w:noWrap w:val="false"/>
          </w:tcPr>
          <w:p>
            <w:pPr>
              <w:ind w:firstLine="240"/>
              <w:keepLines w:val="0"/>
              <w:keepNext w:val="0"/>
              <w:pageBreakBefore w:val="0"/>
              <w:spacing w:line="320" w:lineRule="exact"/>
              <w:rPr>
                <w:rFonts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  3</w:t>
            </w:r>
            <w:r/>
          </w:p>
        </w:tc>
      </w:tr>
      <w:tr>
        <w:trPr>
          <w:jc w:val="center"/>
          <w:trHeight w:val="90"/>
        </w:trPr>
        <w:tc>
          <w:tcPr>
            <w:tcW w:w="1621" w:type="dxa"/>
            <w:vAlign w:val="center"/>
            <w:vMerge w:val="continue"/>
            <w:textDirection w:val="lrTb"/>
            <w:noWrap w:val="false"/>
          </w:tcPr>
          <w:p>
            <w:pPr>
              <w:ind w:left="1260" w:firstLine="420"/>
              <w:jc w:val="both"/>
              <w:keepLines w:val="0"/>
              <w:keepNext w:val="0"/>
              <w:pageBreakBefore w:val="0"/>
              <w:spacing w:before="166" w:after="166" w:line="400" w:lineRule="exact"/>
              <w:widowControl w:val="off"/>
              <w:tabs>
                <w:tab w:val="left" w:pos="1440" w:leader="none"/>
                <w:tab w:val="right" w:pos="8505" w:leader="dot"/>
              </w:tabs>
              <w:rPr>
                <w:rFonts w:hint="default" w:ascii="Times New Roman" w:hAnsi="Times New Roman" w:eastAsia="宋体" w:cs="Times New Roman"/>
                <w:color w:val="auto"/>
                <w:sz w:val="21"/>
                <w:szCs w:val="24"/>
                <w:highlight w:val="none"/>
                <w:lang w:val="en-US" w:eastAsia="zh-CN" w:bidi="ar-SA"/>
              </w:rPr>
            </w:pPr>
            <w:r>
              <w:rPr>
                <w:rFonts w:hint="default" w:ascii="Times New Roman" w:hAnsi="Times New Roman" w:eastAsia="宋体" w:cs="Times New Roman"/>
                <w:color w:val="auto"/>
                <w:sz w:val="21"/>
                <w:szCs w:val="24"/>
                <w:highlight w:val="none"/>
                <w:lang w:val="en-US" w:eastAsia="zh-CN" w:bidi="ar-SA"/>
              </w:rPr>
            </w:r>
            <w:r/>
          </w:p>
        </w:tc>
        <w:tc>
          <w:tcPr>
            <w:tcW w:w="6575" w:type="dxa"/>
            <w:vAlign w:val="center"/>
            <w:textDirection w:val="lrTb"/>
            <w:noWrap w:val="false"/>
          </w:tcPr>
          <w:p>
            <w:pPr>
              <w:ind w:left="0" w:firstLine="0"/>
              <w:keepLines w:val="0"/>
              <w:keepNext w:val="0"/>
              <w:pageBreakBefore w:val="0"/>
              <w:spacing w:line="3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质量控制措施及合理化建议 （</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分）</w:t>
            </w:r>
            <w:r/>
          </w:p>
          <w:p>
            <w:pPr>
              <w:ind w:firstLine="480"/>
              <w:keepLines w:val="0"/>
              <w:keepNext w:val="0"/>
              <w:pageBreakBefore w:val="0"/>
              <w:spacing w:line="32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控制措施及合理化建议切实可行，完善全面、科学合理，可行性、可操作性强，</w:t>
            </w:r>
            <w:r>
              <w:rPr>
                <w:rFonts w:hint="eastAsia" w:ascii="宋体" w:hAnsi="宋体" w:eastAsia="宋体" w:cs="宋体"/>
                <w:b/>
                <w:bCs/>
                <w:color w:val="auto"/>
                <w:sz w:val="24"/>
                <w:szCs w:val="24"/>
                <w:highlight w:val="none"/>
                <w:lang w:val="zh-CN"/>
              </w:rPr>
              <w:t xml:space="preserve">得</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val="zh-CN"/>
              </w:rPr>
              <w:t xml:space="preserve">分</w:t>
            </w:r>
            <w:r>
              <w:rPr>
                <w:rFonts w:hint="eastAsia" w:ascii="宋体" w:hAnsi="宋体" w:eastAsia="宋体" w:cs="宋体"/>
                <w:color w:val="auto"/>
                <w:sz w:val="24"/>
                <w:szCs w:val="24"/>
                <w:highlight w:val="none"/>
                <w:lang w:val="zh-CN"/>
              </w:rPr>
              <w:t xml:space="preserve">；</w:t>
            </w:r>
            <w:r/>
          </w:p>
          <w:p>
            <w:pPr>
              <w:ind w:firstLine="480"/>
              <w:keepLines w:val="0"/>
              <w:keepNext w:val="0"/>
              <w:pageBreakBefore w:val="0"/>
              <w:spacing w:line="32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控制措施及合理化建议具有可行性，方案较合理，可行性、可操作性较强，</w:t>
            </w:r>
            <w:r>
              <w:rPr>
                <w:rFonts w:hint="eastAsia" w:ascii="宋体" w:hAnsi="宋体" w:eastAsia="宋体" w:cs="宋体"/>
                <w:b/>
                <w:bCs/>
                <w:color w:val="auto"/>
                <w:sz w:val="24"/>
                <w:szCs w:val="24"/>
                <w:highlight w:val="none"/>
                <w:lang w:val="zh-CN"/>
              </w:rPr>
              <w:t xml:space="preserve">得</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zh-CN"/>
              </w:rPr>
              <w:t xml:space="preserve">分</w:t>
            </w:r>
            <w:r>
              <w:rPr>
                <w:rFonts w:hint="eastAsia" w:ascii="宋体" w:hAnsi="宋体" w:eastAsia="宋体" w:cs="宋体"/>
                <w:color w:val="auto"/>
                <w:sz w:val="24"/>
                <w:szCs w:val="24"/>
                <w:highlight w:val="none"/>
                <w:lang w:val="zh-CN"/>
              </w:rPr>
              <w:t xml:space="preserve">；</w:t>
            </w:r>
            <w:r/>
          </w:p>
          <w:p>
            <w:pPr>
              <w:ind w:firstLine="480"/>
              <w:keepLines w:val="0"/>
              <w:keepNext w:val="0"/>
              <w:pageBreakBefore w:val="0"/>
              <w:spacing w:line="32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控制措施及合理化建议可行性一般，方案合理性一般，可行性一般，</w:t>
            </w:r>
            <w:r>
              <w:rPr>
                <w:rFonts w:hint="eastAsia" w:ascii="宋体" w:hAnsi="宋体" w:eastAsia="宋体" w:cs="宋体"/>
                <w:b/>
                <w:bCs/>
                <w:color w:val="auto"/>
                <w:sz w:val="24"/>
                <w:szCs w:val="24"/>
                <w:highlight w:val="none"/>
                <w:lang w:val="zh-CN"/>
              </w:rPr>
              <w:t xml:space="preserve">得</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val="zh-CN"/>
              </w:rPr>
              <w:t xml:space="preserve">分</w:t>
            </w:r>
            <w:r>
              <w:rPr>
                <w:rFonts w:hint="eastAsia" w:ascii="宋体" w:hAnsi="宋体" w:eastAsia="宋体" w:cs="宋体"/>
                <w:color w:val="auto"/>
                <w:sz w:val="24"/>
                <w:szCs w:val="24"/>
                <w:highlight w:val="none"/>
                <w:lang w:val="zh-CN"/>
              </w:rPr>
              <w:t xml:space="preserve">；</w:t>
            </w:r>
            <w:r/>
          </w:p>
          <w:p>
            <w:pPr>
              <w:numPr>
                <w:ilvl w:val="0"/>
                <w:numId w:val="0"/>
              </w:numPr>
              <w:ind w:left="0" w:right="34" w:firstLine="482"/>
              <w:keepLines w:val="0"/>
              <w:keepNext w:val="0"/>
              <w:pageBreakBefore w:val="0"/>
              <w:spacing w:line="320" w:lineRule="exact"/>
              <w:rPr>
                <w:b/>
                <w:bCs/>
                <w:color w:val="auto"/>
                <w:sz w:val="24"/>
                <w:highlight w:val="none"/>
              </w:rPr>
            </w:pPr>
            <w:r>
              <w:rPr>
                <w:rFonts w:hint="eastAsia" w:ascii="宋体" w:hAnsi="宋体" w:eastAsia="宋体" w:cs="Times New Roman"/>
                <w:b/>
                <w:bCs/>
                <w:color w:val="auto"/>
                <w:sz w:val="24"/>
                <w:highlight w:val="none"/>
                <w:lang w:val="zh-CN" w:eastAsia="zh-CN"/>
              </w:rPr>
              <w:t xml:space="preserve">本项最高得</w:t>
            </w:r>
            <w:r>
              <w:rPr>
                <w:rFonts w:hint="eastAsia" w:ascii="宋体" w:hAnsi="宋体" w:eastAsia="宋体" w:cs="Times New Roman"/>
                <w:b/>
                <w:bCs/>
                <w:color w:val="auto"/>
                <w:sz w:val="24"/>
                <w:highlight w:val="none"/>
                <w:lang w:val="en-US" w:eastAsia="zh-CN"/>
              </w:rPr>
              <w:t xml:space="preserve">3</w:t>
            </w:r>
            <w:r>
              <w:rPr>
                <w:rFonts w:hint="eastAsia" w:ascii="宋体" w:hAnsi="宋体" w:eastAsia="宋体" w:cs="Times New Roman"/>
                <w:b/>
                <w:bCs/>
                <w:color w:val="auto"/>
                <w:sz w:val="24"/>
                <w:highlight w:val="none"/>
                <w:lang w:val="zh-CN" w:eastAsia="zh-CN"/>
              </w:rPr>
              <w:t xml:space="preserve">分，差或未见阐述本项不得分。</w:t>
            </w:r>
            <w:r/>
          </w:p>
        </w:tc>
        <w:tc>
          <w:tcPr>
            <w:tcW w:w="1430" w:type="dxa"/>
            <w:vAlign w:val="center"/>
            <w:textDirection w:val="lrTb"/>
            <w:noWrap w:val="false"/>
          </w:tcPr>
          <w:p>
            <w:pPr>
              <w:ind w:firstLine="480"/>
              <w:keepLines w:val="0"/>
              <w:keepNext w:val="0"/>
              <w:pageBreakBefore w:val="0"/>
              <w:spacing w:line="320" w:lineRule="exac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3</w:t>
            </w:r>
            <w:r/>
          </w:p>
        </w:tc>
      </w:tr>
      <w:tr>
        <w:trPr>
          <w:jc w:val="center"/>
          <w:trHeight w:val="369"/>
        </w:trPr>
        <w:tc>
          <w:tcPr>
            <w:tcW w:w="1621" w:type="dxa"/>
            <w:vAlign w:val="center"/>
            <w:vMerge w:val="restart"/>
            <w:textDirection w:val="lrTb"/>
            <w:noWrap w:val="false"/>
          </w:tcPr>
          <w:p>
            <w:pPr>
              <w:ind w:right="-59" w:firstLine="482"/>
              <w:keepLines w:val="0"/>
              <w:keepNext w:val="0"/>
              <w:pageBreakBefore w:val="0"/>
              <w:spacing w:line="4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商务</w:t>
            </w:r>
            <w:r/>
          </w:p>
          <w:p>
            <w:pPr>
              <w:ind w:right="-59" w:firstLine="482"/>
              <w:keepLines w:val="0"/>
              <w:keepNext w:val="0"/>
              <w:pageBreakBefore w:val="0"/>
              <w:spacing w:line="4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响应</w:t>
            </w:r>
            <w:r/>
          </w:p>
          <w:p>
            <w:pPr>
              <w:ind w:left="0" w:firstLine="241"/>
              <w:jc w:val="both"/>
              <w:keepLines w:val="0"/>
              <w:keepNext w:val="0"/>
              <w:pageBreakBefore w:val="0"/>
              <w:spacing w:before="166" w:after="166" w:line="400" w:lineRule="exact"/>
              <w:widowControl w:val="off"/>
              <w:tabs>
                <w:tab w:val="left" w:pos="1440" w:leader="none"/>
                <w:tab w:val="right" w:pos="8505" w:leader="dot"/>
              </w:tabs>
              <w:rPr>
                <w:rFonts w:hint="eastAsia" w:ascii="Times New Roman" w:hAnsi="Times New Roman" w:eastAsia="宋体" w:cs="Times New Roman"/>
                <w:color w:val="auto"/>
                <w:sz w:val="21"/>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（20分）</w:t>
            </w:r>
            <w:r/>
          </w:p>
          <w:p>
            <w:pPr>
              <w:ind w:left="1260" w:firstLine="420"/>
              <w:jc w:val="both"/>
              <w:keepLines w:val="0"/>
              <w:keepNext w:val="0"/>
              <w:pageBreakBefore w:val="0"/>
              <w:spacing w:before="166" w:after="166" w:line="400" w:lineRule="exact"/>
              <w:widowControl w:val="off"/>
              <w:tabs>
                <w:tab w:val="left" w:pos="1440" w:leader="none"/>
                <w:tab w:val="right" w:pos="8505" w:leader="dot"/>
              </w:tabs>
              <w:rPr>
                <w:rFonts w:hint="default" w:ascii="Times New Roman" w:hAnsi="Times New Roman" w:eastAsia="宋体" w:cs="Times New Roman"/>
                <w:color w:val="auto"/>
                <w:sz w:val="21"/>
                <w:szCs w:val="24"/>
                <w:highlight w:val="none"/>
                <w:lang w:val="en-US" w:eastAsia="zh-CN" w:bidi="ar-SA"/>
              </w:rPr>
            </w:pPr>
            <w:r>
              <w:rPr>
                <w:rFonts w:hint="default" w:ascii="Times New Roman" w:hAnsi="Times New Roman" w:eastAsia="宋体" w:cs="Times New Roman"/>
                <w:color w:val="auto"/>
                <w:sz w:val="21"/>
                <w:szCs w:val="24"/>
                <w:highlight w:val="none"/>
                <w:lang w:val="en-US" w:eastAsia="zh-CN" w:bidi="ar-SA"/>
              </w:rPr>
            </w:r>
            <w:r/>
          </w:p>
        </w:tc>
        <w:tc>
          <w:tcPr>
            <w:tcW w:w="6575" w:type="dxa"/>
            <w:vAlign w:val="center"/>
            <w:textDirection w:val="lrTb"/>
            <w:noWrap w:val="false"/>
          </w:tcPr>
          <w:p>
            <w:pPr>
              <w:ind w:left="0" w:firstLine="0"/>
              <w:keepLines w:val="0"/>
              <w:keepNext w:val="0"/>
              <w:pageBreakBefore w:val="0"/>
              <w:spacing w:line="320" w:lineRule="atLeas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Batang"/>
                <w:b/>
                <w:bCs/>
                <w:color w:val="auto"/>
                <w:sz w:val="24"/>
                <w:highlight w:val="none"/>
                <w:lang w:val="en-US" w:eastAsia="zh-CN"/>
              </w:rPr>
            </w:pPr>
            <w:r>
              <w:rPr>
                <w:rFonts w:hint="eastAsia" w:ascii="宋体" w:hAnsi="宋体" w:cs="Batang"/>
                <w:b/>
                <w:bCs/>
                <w:color w:val="auto"/>
                <w:sz w:val="24"/>
                <w:highlight w:val="none"/>
                <w:lang w:eastAsia="zh-CN"/>
              </w:rPr>
              <w:t xml:space="preserve">售后服务方案</w:t>
            </w:r>
            <w:r>
              <w:rPr>
                <w:rFonts w:hint="eastAsia" w:ascii="宋体" w:hAnsi="宋体" w:cs="Batang"/>
                <w:b/>
                <w:bCs/>
                <w:color w:val="auto"/>
                <w:sz w:val="24"/>
                <w:highlight w:val="none"/>
                <w:lang w:val="en-US" w:eastAsia="zh-CN"/>
              </w:rPr>
              <w:t xml:space="preserve">  （3分）</w:t>
            </w:r>
            <w:r/>
          </w:p>
          <w:p>
            <w:pPr>
              <w:ind w:firstLine="480"/>
              <w:keepLines w:val="0"/>
              <w:keepNext w:val="0"/>
              <w:pageBreakBefore w:val="0"/>
              <w:spacing w:line="320" w:lineRule="atLeas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Cs/>
                <w:color w:val="auto"/>
                <w:sz w:val="24"/>
                <w:highlight w:val="none"/>
              </w:rPr>
            </w:pPr>
            <w:r>
              <w:rPr>
                <w:rFonts w:hint="eastAsia" w:ascii="宋体" w:hAnsi="宋体" w:cs="宋体"/>
                <w:bCs/>
                <w:color w:val="auto"/>
                <w:sz w:val="24"/>
                <w:highlight w:val="none"/>
              </w:rPr>
              <w:t xml:space="preserve">投标人针对本项目提供售后服务方案，包括但不限于解决质量或操作问题的形式、维修时间、地点、人员</w:t>
            </w:r>
            <w:r>
              <w:rPr>
                <w:rFonts w:hint="eastAsia" w:ascii="宋体" w:hAnsi="宋体" w:cs="宋体"/>
                <w:bCs/>
                <w:color w:val="auto"/>
                <w:sz w:val="24"/>
                <w:highlight w:val="none"/>
                <w:lang w:eastAsia="zh-CN"/>
              </w:rPr>
              <w:t xml:space="preserve">、服务方案周密性</w:t>
            </w:r>
            <w:r>
              <w:rPr>
                <w:rFonts w:hint="eastAsia" w:ascii="宋体" w:hAnsi="宋体" w:cs="宋体"/>
                <w:bCs/>
                <w:color w:val="auto"/>
                <w:sz w:val="24"/>
                <w:highlight w:val="none"/>
              </w:rPr>
              <w:t xml:space="preserve">等内容：</w:t>
            </w:r>
            <w:r/>
          </w:p>
          <w:p>
            <w:pPr>
              <w:ind w:firstLine="480"/>
              <w:keepLines w:val="0"/>
              <w:keepNext w:val="0"/>
              <w:pageBreakBefore w:val="0"/>
              <w:spacing w:line="320" w:lineRule="atLeas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Cs/>
                <w:color w:val="auto"/>
                <w:sz w:val="24"/>
                <w:highlight w:val="none"/>
              </w:rPr>
            </w:pPr>
            <w:r>
              <w:rPr>
                <w:rFonts w:hint="eastAsia" w:ascii="宋体" w:hAnsi="宋体" w:cs="宋体"/>
                <w:bCs/>
                <w:color w:val="auto"/>
                <w:sz w:val="24"/>
                <w:highlight w:val="none"/>
              </w:rPr>
              <w:t xml:space="preserve">内容详尽完善，</w:t>
            </w:r>
            <w:r>
              <w:rPr>
                <w:rFonts w:hint="eastAsia" w:ascii="宋体" w:hAnsi="宋体" w:cs="宋体"/>
                <w:bCs/>
                <w:color w:val="auto"/>
                <w:sz w:val="24"/>
                <w:highlight w:val="none"/>
                <w:lang w:eastAsia="zh-CN"/>
              </w:rPr>
              <w:t xml:space="preserve">服务方案周密合理</w:t>
            </w:r>
            <w:r>
              <w:rPr>
                <w:rFonts w:hint="eastAsia" w:ascii="宋体" w:hAnsi="宋体" w:cs="宋体"/>
                <w:bCs/>
                <w:color w:val="auto"/>
                <w:sz w:val="24"/>
                <w:highlight w:val="none"/>
              </w:rPr>
              <w:t xml:space="preserve">，切合售后服务需求，人员安排合理，可实施性强的</w:t>
            </w:r>
            <w:r>
              <w:rPr>
                <w:rFonts w:hint="eastAsia" w:ascii="宋体" w:hAnsi="宋体" w:cs="宋体"/>
                <w:b/>
                <w:bCs/>
                <w:color w:val="auto"/>
                <w:sz w:val="24"/>
                <w:highlight w:val="none"/>
              </w:rPr>
              <w:t xml:space="preserve">得</w:t>
            </w:r>
            <w:r>
              <w:rPr>
                <w:rFonts w:hint="eastAsia" w:ascii="宋体" w:hAnsi="宋体" w:cs="宋体"/>
                <w:b/>
                <w:bCs/>
                <w:color w:val="auto"/>
                <w:sz w:val="24"/>
                <w:highlight w:val="none"/>
                <w:lang w:val="en-US" w:eastAsia="zh-CN"/>
              </w:rPr>
              <w:t xml:space="preserve">3</w:t>
            </w:r>
            <w:r>
              <w:rPr>
                <w:rFonts w:hint="eastAsia" w:ascii="宋体" w:hAnsi="宋体" w:cs="宋体"/>
                <w:b/>
                <w:bCs/>
                <w:color w:val="auto"/>
                <w:sz w:val="24"/>
                <w:highlight w:val="none"/>
              </w:rPr>
              <w:t xml:space="preserve">分；</w:t>
            </w:r>
            <w:r/>
          </w:p>
          <w:p>
            <w:pPr>
              <w:ind w:firstLine="480"/>
              <w:keepLines w:val="0"/>
              <w:keepNext w:val="0"/>
              <w:pageBreakBefore w:val="0"/>
              <w:spacing w:line="320" w:lineRule="atLeas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Cs/>
                <w:color w:val="auto"/>
                <w:sz w:val="24"/>
                <w:highlight w:val="none"/>
              </w:rPr>
            </w:pPr>
            <w:r>
              <w:rPr>
                <w:rFonts w:hint="eastAsia" w:ascii="宋体" w:hAnsi="宋体" w:cs="宋体"/>
                <w:bCs/>
                <w:color w:val="auto"/>
                <w:sz w:val="24"/>
                <w:highlight w:val="none"/>
              </w:rPr>
              <w:t xml:space="preserve">内容较详细全面</w:t>
            </w:r>
            <w:r>
              <w:rPr>
                <w:rFonts w:hint="eastAsia" w:ascii="宋体" w:hAnsi="宋体" w:cs="宋体"/>
                <w:bCs/>
                <w:color w:val="auto"/>
                <w:sz w:val="24"/>
                <w:highlight w:val="none"/>
                <w:lang w:eastAsia="zh-CN"/>
              </w:rPr>
              <w:t xml:space="preserve">，服务方案较周密合理</w:t>
            </w:r>
            <w:r>
              <w:rPr>
                <w:rFonts w:hint="eastAsia" w:ascii="宋体" w:hAnsi="宋体" w:cs="宋体"/>
                <w:bCs/>
                <w:color w:val="auto"/>
                <w:sz w:val="24"/>
                <w:highlight w:val="none"/>
              </w:rPr>
              <w:t xml:space="preserve">，比较切合售后服务需求，人员安排较合理，可实施性较强的</w:t>
            </w:r>
            <w:r>
              <w:rPr>
                <w:rFonts w:hint="eastAsia" w:ascii="宋体" w:hAnsi="宋体" w:cs="宋体"/>
                <w:b/>
                <w:bCs/>
                <w:color w:val="auto"/>
                <w:sz w:val="24"/>
                <w:highlight w:val="none"/>
              </w:rPr>
              <w:t xml:space="preserve">得</w:t>
            </w: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rPr>
              <w:t xml:space="preserve">分；</w:t>
            </w:r>
            <w:r/>
          </w:p>
          <w:p>
            <w:pPr>
              <w:ind w:firstLine="480"/>
              <w:keepLines w:val="0"/>
              <w:keepNext w:val="0"/>
              <w:pageBreakBefore w:val="0"/>
              <w:spacing w:line="320" w:lineRule="atLeas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Cs/>
                <w:color w:val="auto"/>
                <w:sz w:val="24"/>
                <w:highlight w:val="none"/>
              </w:rPr>
            </w:pPr>
            <w:r>
              <w:rPr>
                <w:rFonts w:hint="eastAsia" w:ascii="宋体" w:hAnsi="宋体" w:cs="宋体"/>
                <w:bCs/>
                <w:color w:val="auto"/>
                <w:sz w:val="24"/>
                <w:highlight w:val="none"/>
              </w:rPr>
              <w:t xml:space="preserve">方案内容简单粗糙，</w:t>
            </w:r>
            <w:r>
              <w:rPr>
                <w:rFonts w:hint="eastAsia" w:ascii="宋体" w:hAnsi="宋体" w:cs="宋体"/>
                <w:bCs/>
                <w:color w:val="auto"/>
                <w:sz w:val="24"/>
                <w:highlight w:val="none"/>
                <w:lang w:eastAsia="zh-CN"/>
              </w:rPr>
              <w:t xml:space="preserve">服务方案一般，</w:t>
            </w:r>
            <w:r>
              <w:rPr>
                <w:rFonts w:hint="eastAsia" w:ascii="宋体" w:hAnsi="宋体" w:cs="宋体"/>
                <w:bCs/>
                <w:color w:val="auto"/>
                <w:sz w:val="24"/>
                <w:highlight w:val="none"/>
              </w:rPr>
              <w:t xml:space="preserve">基本符合售后服务需求，可实施性一般的</w:t>
            </w:r>
            <w:r>
              <w:rPr>
                <w:rFonts w:hint="eastAsia" w:ascii="宋体" w:hAnsi="宋体" w:cs="宋体"/>
                <w:b/>
                <w:bCs/>
                <w:color w:val="auto"/>
                <w:sz w:val="24"/>
                <w:highlight w:val="none"/>
              </w:rPr>
              <w:t xml:space="preserve">得</w:t>
            </w:r>
            <w:r>
              <w:rPr>
                <w:rFonts w:hint="eastAsia" w:ascii="宋体" w:hAnsi="宋体" w:cs="宋体"/>
                <w:b/>
                <w:bCs/>
                <w:color w:val="auto"/>
                <w:sz w:val="24"/>
                <w:highlight w:val="none"/>
                <w:lang w:val="en-US" w:eastAsia="zh-CN"/>
              </w:rPr>
              <w:t xml:space="preserve">1</w:t>
            </w:r>
            <w:r>
              <w:rPr>
                <w:rFonts w:hint="eastAsia" w:ascii="宋体" w:hAnsi="宋体" w:cs="宋体"/>
                <w:b/>
                <w:bCs/>
                <w:color w:val="auto"/>
                <w:sz w:val="24"/>
                <w:highlight w:val="none"/>
              </w:rPr>
              <w:t xml:space="preserve">分；</w:t>
            </w:r>
            <w:r/>
          </w:p>
          <w:p>
            <w:pPr>
              <w:ind w:firstLine="482"/>
              <w:keepLines w:val="0"/>
              <w:keepNext w:val="0"/>
              <w:pageBreakBefore w:val="0"/>
              <w:spacing w:line="320" w:lineRule="atLeast"/>
              <w:widowControl w:val="off"/>
              <w:rPr>
                <w:rFonts w:hint="eastAsia" w:ascii="宋体" w:hAnsi="宋体" w:eastAsia="宋体" w:cs="Times New Roman"/>
                <w:b/>
                <w:bCs/>
                <w:color w:val="auto"/>
                <w:sz w:val="24"/>
                <w:highlight w:val="none"/>
                <w:lang w:val="zh-CN" w:eastAsia="zh-CN"/>
              </w:rPr>
            </w:pPr>
            <w:r>
              <w:rPr>
                <w:rFonts w:hint="eastAsia" w:ascii="宋体" w:hAnsi="宋体" w:eastAsia="宋体" w:cs="Times New Roman"/>
                <w:b/>
                <w:bCs/>
                <w:color w:val="auto"/>
                <w:sz w:val="24"/>
                <w:highlight w:val="none"/>
                <w:lang w:val="zh-CN" w:eastAsia="zh-CN"/>
              </w:rPr>
              <w:t xml:space="preserve">本项最高得</w:t>
            </w:r>
            <w:r>
              <w:rPr>
                <w:rFonts w:hint="eastAsia" w:ascii="宋体" w:hAnsi="宋体" w:eastAsia="宋体" w:cs="Times New Roman"/>
                <w:b/>
                <w:bCs/>
                <w:color w:val="auto"/>
                <w:sz w:val="24"/>
                <w:highlight w:val="none"/>
                <w:lang w:val="en-US" w:eastAsia="zh-CN"/>
              </w:rPr>
              <w:t xml:space="preserve">3</w:t>
            </w:r>
            <w:r>
              <w:rPr>
                <w:rFonts w:hint="eastAsia" w:ascii="宋体" w:hAnsi="宋体" w:eastAsia="宋体" w:cs="Times New Roman"/>
                <w:b/>
                <w:bCs/>
                <w:color w:val="auto"/>
                <w:sz w:val="24"/>
                <w:highlight w:val="none"/>
                <w:lang w:val="zh-CN" w:eastAsia="zh-CN"/>
              </w:rPr>
              <w:t xml:space="preserve">分，差或未见阐述本项不得分。</w:t>
            </w:r>
            <w:r/>
          </w:p>
          <w:p>
            <w:pPr>
              <w:ind w:left="0" w:firstLine="0"/>
              <w:jc w:val="both"/>
              <w:keepLines w:val="0"/>
              <w:keepNext w:val="0"/>
              <w:pageBreakBefore w:val="0"/>
              <w:spacing w:line="320" w:lineRule="atLeast"/>
              <w:widowControl w:val="off"/>
              <w:rPr>
                <w:rFonts w:hint="default" w:ascii="Times New Roman" w:hAnsi="Times New Roman" w:eastAsia="宋体" w:cs="宋体"/>
                <w:b/>
                <w:bCs/>
                <w:color w:val="auto"/>
                <w:sz w:val="24"/>
                <w:szCs w:val="24"/>
                <w:highlight w:val="none"/>
                <w:lang w:val="en-US" w:eastAsia="zh-CN" w:bidi="ar-SA"/>
              </w:rPr>
            </w:pPr>
            <w:r>
              <w:rPr>
                <w:rFonts w:hint="eastAsia" w:ascii="Times New Roman" w:hAnsi="Times New Roman" w:eastAsia="宋体" w:cs="宋体"/>
                <w:b/>
                <w:bCs/>
                <w:color w:val="auto"/>
                <w:sz w:val="24"/>
                <w:szCs w:val="24"/>
                <w:highlight w:val="none"/>
                <w:lang w:val="en-US" w:eastAsia="zh-CN" w:bidi="ar-SA"/>
              </w:rPr>
              <w:t xml:space="preserve">响应时间（2分）</w:t>
            </w:r>
            <w:r/>
          </w:p>
          <w:p>
            <w:pPr>
              <w:ind w:left="0" w:firstLine="480"/>
              <w:jc w:val="both"/>
              <w:keepLines w:val="0"/>
              <w:keepNext w:val="0"/>
              <w:pageBreakBefore w:val="0"/>
              <w:spacing w:line="320" w:lineRule="atLeast"/>
              <w:widowControl w:val="off"/>
              <w:rPr>
                <w:rFonts w:hint="default" w:ascii="Times New Roman" w:hAnsi="Times New Roman" w:eastAsia="宋体" w:cs="宋体"/>
                <w:color w:val="auto"/>
                <w:sz w:val="24"/>
                <w:szCs w:val="24"/>
                <w:highlight w:val="none"/>
                <w:lang w:val="en-US" w:eastAsia="zh-CN" w:bidi="ar-SA"/>
              </w:rPr>
            </w:pPr>
            <w:r>
              <w:rPr>
                <w:rFonts w:hint="eastAsia" w:ascii="Times New Roman" w:hAnsi="Times New Roman" w:eastAsia="宋体" w:cs="宋体"/>
                <w:color w:val="auto"/>
                <w:sz w:val="24"/>
                <w:szCs w:val="24"/>
                <w:highlight w:val="none"/>
                <w:lang w:val="en-US" w:eastAsia="zh-CN" w:bidi="ar-SA"/>
              </w:rPr>
              <w:t xml:space="preserve">投标人承诺1小时响应，4小时到达现场处理的,</w:t>
            </w:r>
            <w:r>
              <w:rPr>
                <w:rFonts w:hint="eastAsia" w:ascii="Times New Roman" w:hAnsi="Times New Roman" w:eastAsia="宋体" w:cs="宋体"/>
                <w:b/>
                <w:bCs/>
                <w:color w:val="auto"/>
                <w:sz w:val="24"/>
                <w:szCs w:val="24"/>
                <w:highlight w:val="none"/>
                <w:lang w:val="en-US" w:eastAsia="zh-CN" w:bidi="ar-SA"/>
              </w:rPr>
              <w:t xml:space="preserve">得1分；</w:t>
            </w:r>
            <w:r/>
          </w:p>
          <w:p>
            <w:pPr>
              <w:ind w:firstLine="480"/>
              <w:jc w:val="both"/>
              <w:keepLines w:val="0"/>
              <w:keepNext w:val="0"/>
              <w:pageBreakBefore w:val="0"/>
              <w:spacing w:line="320" w:lineRule="atLeast"/>
              <w:widowControl w:val="off"/>
              <w:rPr>
                <w:rFonts w:hint="eastAsia" w:ascii="Times New Roman" w:hAnsi="Times New Roman" w:eastAsia="宋体" w:cs="宋体"/>
                <w:color w:val="auto"/>
                <w:sz w:val="24"/>
                <w:szCs w:val="24"/>
                <w:highlight w:val="none"/>
                <w:lang w:val="en-US" w:eastAsia="zh-CN" w:bidi="ar-SA"/>
              </w:rPr>
            </w:pPr>
            <w:r>
              <w:rPr>
                <w:rFonts w:hint="eastAsia" w:ascii="Times New Roman" w:hAnsi="Times New Roman" w:eastAsia="宋体" w:cs="宋体"/>
                <w:color w:val="auto"/>
                <w:sz w:val="24"/>
                <w:szCs w:val="24"/>
                <w:highlight w:val="none"/>
                <w:lang w:val="en-US" w:eastAsia="zh-CN" w:bidi="ar-SA"/>
              </w:rPr>
              <w:t xml:space="preserve">投标人承诺半小时响应，2小时到达现场处理的,</w:t>
            </w:r>
            <w:r>
              <w:rPr>
                <w:rFonts w:hint="eastAsia" w:ascii="Times New Roman" w:hAnsi="Times New Roman" w:eastAsia="宋体" w:cs="宋体"/>
                <w:b/>
                <w:bCs/>
                <w:color w:val="auto"/>
                <w:sz w:val="24"/>
                <w:szCs w:val="24"/>
                <w:highlight w:val="none"/>
                <w:lang w:val="en-US" w:eastAsia="zh-CN" w:bidi="ar-SA"/>
              </w:rPr>
              <w:t xml:space="preserve">得2分；</w:t>
            </w:r>
            <w:r/>
          </w:p>
          <w:p>
            <w:pPr>
              <w:ind w:firstLine="482"/>
              <w:jc w:val="both"/>
              <w:keepLines w:val="0"/>
              <w:keepNext w:val="0"/>
              <w:pageBreakBefore w:val="0"/>
              <w:spacing w:line="320" w:lineRule="atLeast"/>
              <w:widowControl w:val="off"/>
              <w:rPr>
                <w:rFonts w:hint="eastAsia" w:ascii="宋体" w:hAnsi="Times New Roman" w:eastAsia="宋体" w:cs="Times New Roman"/>
                <w:color w:val="auto"/>
                <w:sz w:val="21"/>
                <w:highlight w:val="none"/>
                <w:lang w:val="en-US" w:eastAsia="zh-CN" w:bidi="ar-SA"/>
              </w:rPr>
            </w:pPr>
            <w:r>
              <w:rPr>
                <w:rFonts w:hint="eastAsia" w:ascii="宋体" w:hAnsi="宋体" w:eastAsia="宋体" w:cs="Times New Roman"/>
                <w:b/>
                <w:bCs/>
                <w:color w:val="auto"/>
                <w:sz w:val="24"/>
                <w:highlight w:val="none"/>
                <w:lang w:val="en-US" w:eastAsia="zh-CN" w:bidi="ar-SA"/>
              </w:rPr>
              <w:t xml:space="preserve">注：证明材料由投标人自行承诺（盖章有效），未承诺或未提供此项不得分。</w:t>
            </w:r>
            <w:r/>
          </w:p>
        </w:tc>
        <w:tc>
          <w:tcPr>
            <w:tcW w:w="1430" w:type="dxa"/>
            <w:vAlign w:val="center"/>
            <w:textDirection w:val="lrTb"/>
            <w:noWrap w:val="false"/>
          </w:tcPr>
          <w:p>
            <w:pPr>
              <w:ind w:firstLine="480"/>
              <w:keepLines w:val="0"/>
              <w:keepNext w:val="0"/>
              <w:pageBreakBefore w:val="0"/>
              <w:spacing w:line="4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5</w:t>
            </w:r>
            <w:r/>
          </w:p>
        </w:tc>
      </w:tr>
      <w:tr>
        <w:trPr>
          <w:jc w:val="center"/>
          <w:trHeight w:val="2610"/>
        </w:trPr>
        <w:tc>
          <w:tcPr>
            <w:tcW w:w="1621" w:type="dxa"/>
            <w:vAlign w:val="center"/>
            <w:vMerge w:val="continue"/>
            <w:textDirection w:val="lrTb"/>
            <w:noWrap w:val="false"/>
          </w:tcPr>
          <w:p>
            <w:pPr>
              <w:ind w:left="1260" w:firstLine="420"/>
              <w:jc w:val="both"/>
              <w:keepLines w:val="0"/>
              <w:keepNext w:val="0"/>
              <w:pageBreakBefore w:val="0"/>
              <w:spacing w:before="166" w:after="166" w:line="400" w:lineRule="exact"/>
              <w:widowControl w:val="off"/>
              <w:tabs>
                <w:tab w:val="left" w:pos="1440" w:leader="none"/>
                <w:tab w:val="right" w:pos="8505" w:leader="dot"/>
              </w:tabs>
              <w:rPr>
                <w:rFonts w:hint="default" w:ascii="Times New Roman" w:hAnsi="Times New Roman" w:eastAsia="宋体" w:cs="Times New Roman"/>
                <w:color w:val="auto"/>
                <w:sz w:val="21"/>
                <w:szCs w:val="24"/>
                <w:highlight w:val="none"/>
                <w:lang w:val="en-US" w:eastAsia="zh-CN" w:bidi="ar-SA"/>
              </w:rPr>
            </w:pPr>
            <w:r>
              <w:rPr>
                <w:rFonts w:hint="default" w:ascii="Times New Roman" w:hAnsi="Times New Roman" w:eastAsia="宋体" w:cs="Times New Roman"/>
                <w:color w:val="auto"/>
                <w:sz w:val="21"/>
                <w:szCs w:val="24"/>
                <w:highlight w:val="none"/>
                <w:lang w:val="en-US" w:eastAsia="zh-CN" w:bidi="ar-SA"/>
              </w:rPr>
            </w:r>
            <w:r/>
          </w:p>
        </w:tc>
        <w:tc>
          <w:tcPr>
            <w:tcW w:w="6575" w:type="dxa"/>
            <w:vAlign w:val="center"/>
            <w:textDirection w:val="lrTb"/>
            <w:noWrap w:val="false"/>
          </w:tcPr>
          <w:p>
            <w:pPr>
              <w:ind w:left="0" w:firstLine="0"/>
              <w:keepLines w:val="0"/>
              <w:keepNext w:val="0"/>
              <w:pageBreakBefore w:val="0"/>
              <w:spacing w:line="3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培训方案（</w:t>
            </w:r>
            <w:r>
              <w:rPr>
                <w:rFonts w:hint="eastAsia" w:ascii="宋体" w:hAnsi="宋体" w:cs="宋体"/>
                <w:b/>
                <w:bCs/>
                <w:color w:val="auto"/>
                <w:sz w:val="24"/>
                <w:highlight w:val="none"/>
                <w:lang w:val="en-US" w:eastAsia="zh-CN"/>
              </w:rPr>
              <w:t xml:space="preserve">3</w:t>
            </w:r>
            <w:r>
              <w:rPr>
                <w:rFonts w:hint="eastAsia" w:ascii="宋体" w:hAnsi="宋体" w:cs="宋体"/>
                <w:b/>
                <w:bCs/>
                <w:color w:val="auto"/>
                <w:sz w:val="24"/>
                <w:highlight w:val="none"/>
              </w:rPr>
              <w:t xml:space="preserve">分）</w:t>
            </w:r>
            <w:r/>
          </w:p>
          <w:p>
            <w:pPr>
              <w:ind w:firstLine="480"/>
              <w:keepLines w:val="0"/>
              <w:keepNext w:val="0"/>
              <w:pageBreakBefore w:val="0"/>
              <w:spacing w:line="32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Cs/>
                <w:color w:val="auto"/>
                <w:sz w:val="24"/>
                <w:highlight w:val="none"/>
              </w:rPr>
            </w:pPr>
            <w:r>
              <w:rPr>
                <w:rFonts w:hint="eastAsia" w:ascii="宋体" w:hAnsi="宋体" w:cs="宋体"/>
                <w:bCs/>
                <w:color w:val="auto"/>
                <w:sz w:val="24"/>
                <w:highlight w:val="none"/>
              </w:rPr>
              <w:t xml:space="preserve">投标人针对本项目提供技术培训方案，包括但不限于培训方案的方式、内容、人数及培训后的效果等内容：</w:t>
            </w:r>
            <w:r/>
          </w:p>
          <w:p>
            <w:pPr>
              <w:ind w:firstLine="480"/>
              <w:keepLines w:val="0"/>
              <w:keepNext w:val="0"/>
              <w:pageBreakBefore w:val="0"/>
              <w:spacing w:line="32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Cs/>
                <w:color w:val="auto"/>
                <w:sz w:val="24"/>
                <w:highlight w:val="none"/>
              </w:rPr>
            </w:pPr>
            <w:r>
              <w:rPr>
                <w:rFonts w:hint="eastAsia" w:ascii="宋体" w:hAnsi="宋体" w:cs="宋体"/>
                <w:bCs/>
                <w:color w:val="auto"/>
                <w:sz w:val="24"/>
                <w:highlight w:val="none"/>
              </w:rPr>
              <w:t xml:space="preserve">对项目需求中的培训项有对应的培训内容，方案内容详细，培训方式丰富多样的</w:t>
            </w:r>
            <w:r>
              <w:rPr>
                <w:rFonts w:hint="eastAsia" w:ascii="宋体" w:hAnsi="宋体" w:cs="宋体"/>
                <w:b/>
                <w:bCs/>
                <w:color w:val="auto"/>
                <w:sz w:val="24"/>
                <w:highlight w:val="none"/>
              </w:rPr>
              <w:t xml:space="preserve">得</w:t>
            </w:r>
            <w:r>
              <w:rPr>
                <w:rFonts w:hint="eastAsia" w:ascii="宋体" w:hAnsi="宋体" w:cs="宋体"/>
                <w:b/>
                <w:bCs/>
                <w:color w:val="auto"/>
                <w:sz w:val="24"/>
                <w:highlight w:val="none"/>
                <w:lang w:val="en-US" w:eastAsia="zh-CN"/>
              </w:rPr>
              <w:t xml:space="preserve">3</w:t>
            </w:r>
            <w:r>
              <w:rPr>
                <w:rFonts w:hint="eastAsia" w:ascii="宋体" w:hAnsi="宋体" w:cs="宋体"/>
                <w:b/>
                <w:bCs/>
                <w:color w:val="auto"/>
                <w:sz w:val="24"/>
                <w:highlight w:val="none"/>
              </w:rPr>
              <w:t xml:space="preserve">分；</w:t>
            </w:r>
            <w:r/>
          </w:p>
          <w:p>
            <w:pPr>
              <w:ind w:firstLine="480"/>
              <w:keepLines w:val="0"/>
              <w:keepNext w:val="0"/>
              <w:pageBreakBefore w:val="0"/>
              <w:spacing w:line="32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Cs/>
                <w:color w:val="auto"/>
                <w:sz w:val="24"/>
                <w:highlight w:val="none"/>
              </w:rPr>
            </w:pPr>
            <w:r>
              <w:rPr>
                <w:rFonts w:hint="eastAsia" w:ascii="宋体" w:hAnsi="宋体" w:cs="宋体"/>
                <w:bCs/>
                <w:color w:val="auto"/>
                <w:sz w:val="24"/>
                <w:highlight w:val="none"/>
              </w:rPr>
              <w:t xml:space="preserve">对项目需求中的培训项有对应的培训内容，方案内容较为详细，培训方式较丰富多样的</w:t>
            </w:r>
            <w:r>
              <w:rPr>
                <w:rFonts w:hint="eastAsia" w:ascii="宋体" w:hAnsi="宋体" w:cs="宋体"/>
                <w:b/>
                <w:bCs/>
                <w:color w:val="auto"/>
                <w:sz w:val="24"/>
                <w:highlight w:val="none"/>
              </w:rPr>
              <w:t xml:space="preserve">得</w:t>
            </w: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rPr>
              <w:t xml:space="preserve">分；</w:t>
            </w:r>
            <w:r/>
          </w:p>
          <w:p>
            <w:pPr>
              <w:ind w:firstLine="480"/>
              <w:keepLines w:val="0"/>
              <w:keepNext w:val="0"/>
              <w:pageBreakBefore w:val="0"/>
              <w:spacing w:line="32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bCs/>
                <w:color w:val="auto"/>
                <w:sz w:val="24"/>
                <w:highlight w:val="none"/>
              </w:rPr>
            </w:pPr>
            <w:r>
              <w:rPr>
                <w:rFonts w:hint="eastAsia" w:ascii="宋体" w:hAnsi="宋体" w:cs="宋体"/>
                <w:bCs/>
                <w:color w:val="auto"/>
                <w:sz w:val="24"/>
                <w:highlight w:val="none"/>
              </w:rPr>
              <w:t xml:space="preserve">培训内容与项目需求中的培训项不对应，有缺项，方案内容简单，培训方式单一的</w:t>
            </w:r>
            <w:r>
              <w:rPr>
                <w:rFonts w:hint="eastAsia" w:ascii="宋体" w:hAnsi="宋体" w:cs="宋体"/>
                <w:b/>
                <w:bCs/>
                <w:color w:val="auto"/>
                <w:sz w:val="24"/>
                <w:highlight w:val="none"/>
              </w:rPr>
              <w:t xml:space="preserve">得</w:t>
            </w:r>
            <w:r>
              <w:rPr>
                <w:rFonts w:hint="eastAsia" w:ascii="宋体" w:hAnsi="宋体" w:cs="宋体"/>
                <w:b/>
                <w:bCs/>
                <w:color w:val="auto"/>
                <w:sz w:val="24"/>
                <w:highlight w:val="none"/>
                <w:lang w:val="en-US" w:eastAsia="zh-CN"/>
              </w:rPr>
              <w:t xml:space="preserve">1</w:t>
            </w:r>
            <w:r>
              <w:rPr>
                <w:rFonts w:hint="eastAsia" w:ascii="宋体" w:hAnsi="宋体" w:cs="宋体"/>
                <w:b/>
                <w:bCs/>
                <w:color w:val="auto"/>
                <w:sz w:val="24"/>
                <w:highlight w:val="none"/>
              </w:rPr>
              <w:t xml:space="preserve">分；</w:t>
            </w:r>
            <w:r/>
          </w:p>
          <w:p>
            <w:pPr>
              <w:ind w:firstLine="482"/>
              <w:keepLines w:val="0"/>
              <w:keepNext w:val="0"/>
              <w:pageBreakBefore w:val="0"/>
              <w:spacing w:line="320" w:lineRule="exact"/>
              <w:rPr>
                <w:rFonts w:hint="eastAsia" w:ascii="宋体" w:hAnsi="宋体" w:cs="宋体"/>
                <w:color w:val="auto"/>
                <w:sz w:val="24"/>
                <w:highlight w:val="none"/>
              </w:rPr>
            </w:pPr>
            <w:r>
              <w:rPr>
                <w:rFonts w:hint="eastAsia" w:ascii="宋体" w:hAnsi="宋体" w:eastAsia="宋体" w:cs="Times New Roman"/>
                <w:b/>
                <w:bCs/>
                <w:color w:val="auto"/>
                <w:sz w:val="24"/>
                <w:highlight w:val="none"/>
                <w:lang w:val="zh-CN" w:eastAsia="zh-CN"/>
              </w:rPr>
              <w:t xml:space="preserve">本项最高得</w:t>
            </w:r>
            <w:r>
              <w:rPr>
                <w:rFonts w:hint="eastAsia" w:ascii="宋体" w:hAnsi="宋体" w:eastAsia="宋体" w:cs="Times New Roman"/>
                <w:b/>
                <w:bCs/>
                <w:color w:val="auto"/>
                <w:sz w:val="24"/>
                <w:highlight w:val="none"/>
                <w:lang w:val="en-US" w:eastAsia="zh-CN"/>
              </w:rPr>
              <w:t xml:space="preserve">3</w:t>
            </w:r>
            <w:r>
              <w:rPr>
                <w:rFonts w:hint="eastAsia" w:ascii="宋体" w:hAnsi="宋体" w:eastAsia="宋体" w:cs="Times New Roman"/>
                <w:b/>
                <w:bCs/>
                <w:color w:val="auto"/>
                <w:sz w:val="24"/>
                <w:highlight w:val="none"/>
                <w:lang w:val="zh-CN" w:eastAsia="zh-CN"/>
              </w:rPr>
              <w:t xml:space="preserve">分，差或未见阐述本项不得分。</w:t>
            </w:r>
            <w:r/>
          </w:p>
        </w:tc>
        <w:tc>
          <w:tcPr>
            <w:tcW w:w="1430" w:type="dxa"/>
            <w:vAlign w:val="center"/>
            <w:textDirection w:val="lrTb"/>
            <w:noWrap w:val="false"/>
          </w:tcPr>
          <w:p>
            <w:pPr>
              <w:ind w:firstLine="480"/>
              <w:keepLines w:val="0"/>
              <w:keepNext w:val="0"/>
              <w:pageBreakBefore w:val="0"/>
              <w:spacing w:line="4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3</w:t>
            </w:r>
            <w:r/>
          </w:p>
        </w:tc>
      </w:tr>
      <w:tr>
        <w:trPr>
          <w:jc w:val="center"/>
          <w:trHeight w:val="1845"/>
        </w:trPr>
        <w:tc>
          <w:tcPr>
            <w:tcW w:w="1621" w:type="dxa"/>
            <w:vAlign w:val="center"/>
            <w:vMerge w:val="continue"/>
            <w:textDirection w:val="lrTb"/>
            <w:noWrap w:val="false"/>
          </w:tcPr>
          <w:p>
            <w:pPr>
              <w:ind w:left="1260" w:firstLine="420"/>
              <w:jc w:val="both"/>
              <w:keepLines w:val="0"/>
              <w:keepNext w:val="0"/>
              <w:pageBreakBefore w:val="0"/>
              <w:spacing w:before="166" w:after="166" w:line="400" w:lineRule="exact"/>
              <w:widowControl w:val="off"/>
              <w:tabs>
                <w:tab w:val="left" w:pos="1440" w:leader="none"/>
                <w:tab w:val="right" w:pos="8505" w:leader="dot"/>
              </w:tabs>
              <w:rPr>
                <w:rFonts w:hint="default" w:ascii="Times New Roman" w:hAnsi="Times New Roman" w:eastAsia="宋体" w:cs="Times New Roman"/>
                <w:color w:val="auto"/>
                <w:sz w:val="21"/>
                <w:szCs w:val="24"/>
                <w:highlight w:val="none"/>
                <w:lang w:val="en-US" w:eastAsia="zh-CN" w:bidi="ar-SA"/>
              </w:rPr>
            </w:pPr>
            <w:r>
              <w:rPr>
                <w:rFonts w:hint="default" w:ascii="Times New Roman" w:hAnsi="Times New Roman" w:eastAsia="宋体" w:cs="Times New Roman"/>
                <w:color w:val="auto"/>
                <w:sz w:val="21"/>
                <w:szCs w:val="24"/>
                <w:highlight w:val="none"/>
                <w:lang w:val="en-US" w:eastAsia="zh-CN" w:bidi="ar-SA"/>
              </w:rPr>
            </w:r>
            <w:r/>
          </w:p>
        </w:tc>
        <w:tc>
          <w:tcPr>
            <w:tcW w:w="6575" w:type="dxa"/>
            <w:vAlign w:val="center"/>
            <w:textDirection w:val="lrTb"/>
            <w:noWrap w:val="false"/>
          </w:tcPr>
          <w:p>
            <w:pPr>
              <w:ind w:left="0" w:firstLine="0"/>
              <w:keepLines w:val="0"/>
              <w:keepNext w:val="0"/>
              <w:pageBreakBefore w:val="0"/>
              <w:spacing w:line="320" w:lineRule="atLeast"/>
              <w:rPr>
                <w:rFonts w:hint="eastAsia" w:ascii="宋体" w:hAnsi="宋体" w:cs="宋体"/>
                <w:b/>
                <w:bCs/>
                <w:color w:val="auto"/>
                <w:sz w:val="24"/>
                <w:highlight w:val="none"/>
              </w:rPr>
            </w:pPr>
            <w:r>
              <w:rPr>
                <w:rFonts w:hint="eastAsia" w:ascii="宋体" w:hAnsi="宋体" w:cs="宋体"/>
                <w:b/>
                <w:bCs/>
                <w:color w:val="auto"/>
                <w:sz w:val="24"/>
                <w:highlight w:val="none"/>
              </w:rPr>
              <w:t xml:space="preserve">质保期 （</w:t>
            </w: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rPr>
              <w:t xml:space="preserve">分）</w:t>
            </w:r>
            <w:r/>
          </w:p>
          <w:p>
            <w:pPr>
              <w:ind w:firstLine="480"/>
              <w:jc w:val="both"/>
              <w:keepLines w:val="0"/>
              <w:keepNext w:val="0"/>
              <w:pageBreakBefore w:val="0"/>
              <w:spacing w:before="0" w:beforeAutospacing="0" w:after="0" w:afterAutospacing="0" w:line="320" w:lineRule="atLeast"/>
              <w:widowControl/>
              <w:rPr>
                <w:rFonts w:hint="eastAsia" w:ascii="Times New Roman" w:hAnsi="宋体" w:eastAsia="宋体" w:cs="Times New Roman"/>
                <w:color w:val="auto"/>
                <w:sz w:val="24"/>
                <w:szCs w:val="24"/>
                <w:highlight w:val="none"/>
                <w:lang w:val="en-US" w:eastAsia="zh-CN" w:bidi="ar-SA"/>
              </w:rPr>
            </w:pPr>
            <w:r>
              <w:rPr>
                <w:rFonts w:hint="eastAsia" w:ascii="Times New Roman" w:hAnsi="宋体" w:eastAsia="宋体" w:cs="Times New Roman"/>
                <w:color w:val="auto"/>
                <w:sz w:val="24"/>
                <w:szCs w:val="24"/>
                <w:highlight w:val="none"/>
                <w:lang w:val="en-US" w:eastAsia="zh-CN" w:bidi="ar-SA"/>
              </w:rPr>
              <w:t xml:space="preserve">投标人在满足招标文件质保期限要求（3年）的基础上，每增加1年得2分，本项最高得2分（</w:t>
            </w:r>
            <w:r>
              <w:rPr>
                <w:rFonts w:hint="eastAsia" w:ascii="Times New Roman" w:hAnsi="宋体" w:eastAsia="宋体" w:cs="Times New Roman"/>
                <w:b/>
                <w:bCs/>
                <w:color w:val="auto"/>
                <w:sz w:val="24"/>
                <w:szCs w:val="24"/>
                <w:highlight w:val="none"/>
                <w:lang w:val="en-US" w:eastAsia="zh-CN" w:bidi="ar-SA"/>
              </w:rPr>
              <w:t xml:space="preserve">质保期4年得满分</w:t>
            </w:r>
            <w:r>
              <w:rPr>
                <w:rFonts w:hint="eastAsia" w:ascii="Times New Roman" w:hAnsi="宋体" w:eastAsia="宋体" w:cs="Times New Roman"/>
                <w:color w:val="auto"/>
                <w:sz w:val="24"/>
                <w:szCs w:val="24"/>
                <w:highlight w:val="none"/>
                <w:lang w:val="en-US" w:eastAsia="zh-CN" w:bidi="ar-SA"/>
              </w:rPr>
              <w:t xml:space="preserve">）。</w:t>
            </w:r>
            <w:r/>
          </w:p>
          <w:p>
            <w:pPr>
              <w:ind w:firstLine="482"/>
              <w:keepLines w:val="0"/>
              <w:keepNext w:val="0"/>
              <w:pageBreakBefore w:val="0"/>
              <w:spacing w:line="320" w:lineRule="atLeast"/>
              <w:rPr>
                <w:rFonts w:hint="eastAsia" w:ascii="宋体" w:hAnsi="宋体" w:eastAsia="宋体" w:cs="Times New Roman"/>
                <w:b/>
                <w:bCs/>
                <w:color w:val="auto"/>
                <w:sz w:val="24"/>
                <w:highlight w:val="none"/>
                <w:lang w:val="zh-CN" w:eastAsia="zh-CN"/>
              </w:rPr>
            </w:pPr>
            <w:r>
              <w:rPr>
                <w:rFonts w:hint="eastAsia" w:ascii="宋体" w:hAnsi="宋体" w:eastAsia="宋体" w:cs="Times New Roman"/>
                <w:b/>
                <w:bCs/>
                <w:color w:val="auto"/>
                <w:sz w:val="24"/>
                <w:highlight w:val="none"/>
                <w:lang w:val="en-US" w:eastAsia="zh-CN"/>
              </w:rPr>
              <w:t xml:space="preserve">注：证明材料由投标人自行承诺质保期限（盖章有效），未承诺或未提供此项不得分。</w:t>
            </w:r>
            <w:r/>
          </w:p>
        </w:tc>
        <w:tc>
          <w:tcPr>
            <w:tcW w:w="1430" w:type="dxa"/>
            <w:vAlign w:val="center"/>
            <w:textDirection w:val="lrTb"/>
            <w:noWrap w:val="false"/>
          </w:tcPr>
          <w:p>
            <w:pPr>
              <w:ind w:firstLine="480"/>
              <w:keepLines w:val="0"/>
              <w:keepNext w:val="0"/>
              <w:pageBreakBefore w:val="0"/>
              <w:spacing w:line="40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w:t>
            </w:r>
            <w:r/>
          </w:p>
        </w:tc>
      </w:tr>
      <w:tr>
        <w:trPr>
          <w:jc w:val="center"/>
          <w:trHeight w:val="3225"/>
        </w:trPr>
        <w:tc>
          <w:tcPr>
            <w:tcW w:w="1621" w:type="dxa"/>
            <w:vAlign w:val="center"/>
            <w:vMerge w:val="continue"/>
            <w:textDirection w:val="lrTb"/>
            <w:noWrap w:val="false"/>
          </w:tcPr>
          <w:p>
            <w:pPr>
              <w:ind w:firstLine="480"/>
              <w:jc w:val="center"/>
              <w:keepLines w:val="0"/>
              <w:keepNext w:val="0"/>
              <w:pageBreakBefore w:val="0"/>
              <w:spacing w:line="40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6575" w:type="dxa"/>
            <w:vAlign w:val="center"/>
            <w:textDirection w:val="lrTb"/>
            <w:noWrap w:val="false"/>
          </w:tcPr>
          <w:p>
            <w:pPr>
              <w:ind w:left="0" w:firstLine="0"/>
              <w:keepLines w:val="0"/>
              <w:keepNext w:val="0"/>
              <w:pageBreakBefore w:val="0"/>
              <w:spacing w:line="320" w:lineRule="atLeast"/>
              <w:tabs>
                <w:tab w:val="right" w:pos="6359" w:leader="none"/>
              </w:tabs>
              <w:rPr>
                <w:rFonts w:ascii="宋体" w:hAnsi="宋体" w:cs="宋体"/>
                <w:b/>
                <w:bCs/>
                <w:color w:val="auto"/>
                <w:sz w:val="24"/>
                <w:highlight w:val="none"/>
                <w:lang w:val="en-US"/>
              </w:rPr>
            </w:pPr>
            <w:r>
              <w:rPr>
                <w:rFonts w:hint="eastAsia" w:ascii="宋体" w:hAnsi="宋体" w:cs="宋体"/>
                <w:b/>
                <w:bCs/>
                <w:color w:val="auto"/>
                <w:sz w:val="24"/>
                <w:highlight w:val="none"/>
                <w:lang w:eastAsia="zh-CN"/>
              </w:rPr>
              <w:t xml:space="preserve">制造商综合实力（</w:t>
            </w:r>
            <w:r>
              <w:rPr>
                <w:rFonts w:hint="eastAsia" w:ascii="宋体" w:hAnsi="宋体" w:cs="宋体"/>
                <w:b/>
                <w:bCs/>
                <w:color w:val="auto"/>
                <w:sz w:val="24"/>
                <w:highlight w:val="none"/>
                <w:lang w:val="en-US" w:eastAsia="zh-CN"/>
              </w:rPr>
              <w:t xml:space="preserve">10分</w:t>
            </w:r>
            <w:r>
              <w:rPr>
                <w:rFonts w:hint="eastAsia" w:ascii="宋体" w:hAnsi="宋体" w:cs="宋体"/>
                <w:b/>
                <w:bCs/>
                <w:color w:val="auto"/>
                <w:sz w:val="24"/>
                <w:highlight w:val="none"/>
                <w:lang w:eastAsia="zh-CN"/>
              </w:rPr>
              <w:t xml:space="preserve">）</w:t>
            </w:r>
            <w:r>
              <w:tab/>
            </w:r>
            <w:r/>
          </w:p>
          <w:p>
            <w:pPr>
              <w:numPr>
                <w:ilvl w:val="0"/>
                <w:numId w:val="0"/>
              </w:numPr>
              <w:ind w:left="0" w:firstLine="480"/>
              <w:keepLines w:val="0"/>
              <w:keepNext w:val="0"/>
              <w:pageBreakBefore w:val="0"/>
              <w:spacing w:line="32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color w:val="auto"/>
                <w:sz w:val="24"/>
                <w:szCs w:val="24"/>
                <w:highlight w:val="none"/>
              </w:rPr>
            </w:pPr>
            <w:r>
              <w:rPr>
                <w:rFonts w:hint="eastAsia" w:cs="Times New Roman"/>
                <w:color w:val="auto"/>
                <w:sz w:val="24"/>
                <w:szCs w:val="24"/>
                <w:highlight w:val="none"/>
                <w:lang w:val="en-US" w:eastAsia="zh-CN" w:bidi="ar-SA"/>
              </w:rPr>
              <w:t xml:space="preserve">1、</w:t>
            </w:r>
            <w:r>
              <w:rPr>
                <w:rFonts w:hint="eastAsia" w:ascii="Times New Roman" w:hAnsi="Times New Roman"/>
                <w:color w:val="auto"/>
                <w:sz w:val="24"/>
                <w:szCs w:val="24"/>
                <w:highlight w:val="none"/>
              </w:rPr>
              <w:t xml:space="preserve">所投</w:t>
            </w:r>
            <w:r>
              <w:rPr>
                <w:rFonts w:hint="eastAsia" w:cs="宋体"/>
                <w:color w:val="auto"/>
                <w:sz w:val="24"/>
                <w:szCs w:val="24"/>
                <w:highlight w:val="none"/>
              </w:rPr>
              <w:t xml:space="preserve">音乐互动教学软件</w:t>
            </w:r>
            <w:r>
              <w:rPr>
                <w:rFonts w:cs="宋体"/>
                <w:color w:val="auto"/>
                <w:sz w:val="24"/>
                <w:szCs w:val="24"/>
                <w:highlight w:val="none"/>
              </w:rPr>
              <w:t xml:space="preserve">制造厂商</w:t>
            </w:r>
            <w:r>
              <w:rPr>
                <w:rFonts w:hint="eastAsia" w:cs="宋体"/>
                <w:color w:val="auto"/>
                <w:sz w:val="24"/>
                <w:szCs w:val="24"/>
                <w:highlight w:val="none"/>
              </w:rPr>
              <w:t xml:space="preserve">具有音乐教学软件测试报告，得1分；</w:t>
            </w:r>
            <w:r/>
          </w:p>
          <w:p>
            <w:pPr>
              <w:numPr>
                <w:ilvl w:val="0"/>
                <w:numId w:val="0"/>
              </w:numPr>
              <w:ind w:left="0" w:firstLine="482"/>
              <w:keepLines w:val="0"/>
              <w:keepNext w:val="0"/>
              <w:pageBreakBefore w:val="0"/>
              <w:spacing w:line="32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auto"/>
                <w:sz w:val="24"/>
                <w:highlight w:val="none"/>
                <w:lang w:eastAsia="zh-CN"/>
              </w:rPr>
            </w:pPr>
            <w:r>
              <w:rPr>
                <w:rFonts w:hint="eastAsia" w:ascii="Times New Roman" w:hAnsi="Times New Roman"/>
                <w:b/>
                <w:bCs/>
                <w:color w:val="auto"/>
                <w:sz w:val="24"/>
                <w:szCs w:val="24"/>
                <w:highlight w:val="none"/>
                <w:lang w:eastAsia="zh-CN"/>
              </w:rPr>
              <w:t xml:space="preserve">注：证明材料</w:t>
            </w:r>
            <w:r>
              <w:rPr>
                <w:rFonts w:hint="eastAsia" w:ascii="Times New Roman" w:hAnsi="Times New Roman"/>
                <w:b/>
                <w:bCs/>
                <w:color w:val="auto"/>
                <w:sz w:val="24"/>
                <w:szCs w:val="24"/>
                <w:highlight w:val="none"/>
              </w:rPr>
              <w:t xml:space="preserve">提供证书</w:t>
            </w:r>
            <w:r>
              <w:rPr>
                <w:rFonts w:hint="eastAsia" w:ascii="Times New Roman" w:hAnsi="Times New Roman"/>
                <w:b/>
                <w:bCs/>
                <w:color w:val="auto"/>
                <w:sz w:val="24"/>
                <w:szCs w:val="24"/>
                <w:highlight w:val="none"/>
                <w:lang w:eastAsia="zh-CN"/>
              </w:rPr>
              <w:t xml:space="preserve">扫描件</w:t>
            </w:r>
            <w:r>
              <w:rPr>
                <w:rFonts w:hint="eastAsia" w:ascii="Times New Roman" w:hAnsi="Times New Roman"/>
                <w:b/>
                <w:bCs/>
                <w:color w:val="auto"/>
                <w:sz w:val="24"/>
                <w:szCs w:val="24"/>
                <w:highlight w:val="none"/>
              </w:rPr>
              <w:t xml:space="preserve">并加盖</w:t>
            </w:r>
            <w:r>
              <w:rPr>
                <w:rFonts w:hint="eastAsia" w:ascii="Times New Roman" w:hAnsi="Times New Roman"/>
                <w:b/>
                <w:bCs/>
                <w:color w:val="auto"/>
                <w:sz w:val="24"/>
                <w:szCs w:val="24"/>
                <w:highlight w:val="none"/>
                <w:lang w:eastAsia="zh-CN"/>
              </w:rPr>
              <w:t xml:space="preserve">投标人</w:t>
            </w:r>
            <w:r>
              <w:rPr>
                <w:rFonts w:hint="eastAsia" w:ascii="Times New Roman" w:hAnsi="Times New Roman"/>
                <w:b/>
                <w:bCs/>
                <w:color w:val="auto"/>
                <w:sz w:val="24"/>
                <w:szCs w:val="24"/>
                <w:highlight w:val="none"/>
              </w:rPr>
              <w:t xml:space="preserve">公章</w:t>
            </w:r>
            <w:r>
              <w:rPr>
                <w:rFonts w:hint="eastAsia" w:ascii="Times New Roman" w:hAnsi="Times New Roman"/>
                <w:b/>
                <w:bCs/>
                <w:color w:val="auto"/>
                <w:sz w:val="24"/>
                <w:szCs w:val="24"/>
                <w:highlight w:val="none"/>
                <w:lang w:eastAsia="zh-CN"/>
              </w:rPr>
              <w:t xml:space="preserve">，未提供或未按要求提供此项不得分</w:t>
            </w:r>
            <w:r>
              <w:rPr>
                <w:rFonts w:hint="eastAsia" w:ascii="宋体" w:hAnsi="宋体" w:eastAsia="宋体" w:cs="宋体"/>
                <w:b/>
                <w:bCs/>
                <w:color w:val="auto"/>
                <w:sz w:val="24"/>
                <w:highlight w:val="none"/>
                <w:lang w:eastAsia="zh-CN"/>
              </w:rPr>
              <w:t xml:space="preserve">。</w:t>
            </w:r>
            <w:r/>
          </w:p>
          <w:p>
            <w:pPr>
              <w:numPr>
                <w:ilvl w:val="0"/>
                <w:numId w:val="0"/>
              </w:numPr>
              <w:ind w:left="0" w:firstLine="480"/>
              <w:keepLines w:val="0"/>
              <w:keepNext w:val="0"/>
              <w:pageBreakBefore w:val="0"/>
              <w:spacing w:line="32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color w:val="auto"/>
                <w:sz w:val="24"/>
                <w:szCs w:val="24"/>
                <w:highlight w:val="none"/>
              </w:rPr>
            </w:pPr>
            <w:r>
              <w:rPr>
                <w:rFonts w:hint="eastAsia" w:cs="Times New Roman"/>
                <w:color w:val="auto"/>
                <w:sz w:val="24"/>
                <w:szCs w:val="24"/>
                <w:highlight w:val="none"/>
                <w:lang w:val="en-US" w:eastAsia="zh-CN" w:bidi="ar-SA"/>
              </w:rPr>
              <w:t xml:space="preserve">2、</w:t>
            </w:r>
            <w:r>
              <w:rPr>
                <w:rFonts w:hint="eastAsia" w:ascii="Times New Roman" w:hAnsi="Times New Roman"/>
                <w:color w:val="auto"/>
                <w:sz w:val="24"/>
                <w:szCs w:val="24"/>
                <w:highlight w:val="none"/>
              </w:rPr>
              <w:t xml:space="preserve">所投</w:t>
            </w:r>
            <w:r>
              <w:rPr>
                <w:rFonts w:hint="eastAsia" w:cs="宋体"/>
                <w:color w:val="auto"/>
                <w:sz w:val="24"/>
                <w:szCs w:val="24"/>
                <w:highlight w:val="none"/>
              </w:rPr>
              <w:t xml:space="preserve">音乐互动教学软件</w:t>
            </w:r>
            <w:r>
              <w:rPr>
                <w:rFonts w:cs="宋体"/>
                <w:color w:val="auto"/>
                <w:sz w:val="24"/>
                <w:szCs w:val="24"/>
                <w:highlight w:val="none"/>
              </w:rPr>
              <w:t xml:space="preserve">制造厂商具有《软件企业认定证书》及《软件产品证书》，得</w:t>
            </w:r>
            <w:r>
              <w:rPr>
                <w:rFonts w:hint="eastAsia" w:cs="宋体"/>
                <w:color w:val="auto"/>
                <w:sz w:val="24"/>
                <w:szCs w:val="24"/>
                <w:highlight w:val="none"/>
                <w:lang w:val="en-US" w:eastAsia="zh-CN"/>
              </w:rPr>
              <w:t xml:space="preserve">1</w:t>
            </w:r>
            <w:r>
              <w:rPr>
                <w:rFonts w:cs="宋体"/>
                <w:color w:val="auto"/>
                <w:sz w:val="24"/>
                <w:szCs w:val="24"/>
                <w:highlight w:val="none"/>
              </w:rPr>
              <w:t xml:space="preserve">分</w:t>
            </w:r>
            <w:r>
              <w:rPr>
                <w:rFonts w:hint="eastAsia" w:cs="宋体"/>
                <w:color w:val="auto"/>
                <w:sz w:val="24"/>
                <w:szCs w:val="24"/>
                <w:highlight w:val="none"/>
              </w:rPr>
              <w:t xml:space="preserve">；</w:t>
            </w:r>
            <w:r/>
          </w:p>
          <w:p>
            <w:pPr>
              <w:numPr>
                <w:ilvl w:val="0"/>
                <w:numId w:val="0"/>
              </w:numPr>
              <w:ind w:left="0" w:firstLine="482"/>
              <w:keepLines w:val="0"/>
              <w:keepNext w:val="0"/>
              <w:pageBreakBefore w:val="0"/>
              <w:spacing w:line="32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auto"/>
                <w:sz w:val="24"/>
                <w:highlight w:val="none"/>
                <w:lang w:eastAsia="zh-CN"/>
              </w:rPr>
            </w:pPr>
            <w:r>
              <w:rPr>
                <w:rFonts w:hint="eastAsia" w:ascii="Times New Roman" w:hAnsi="Times New Roman"/>
                <w:b/>
                <w:bCs/>
                <w:color w:val="auto"/>
                <w:sz w:val="24"/>
                <w:szCs w:val="24"/>
                <w:highlight w:val="none"/>
                <w:lang w:eastAsia="zh-CN"/>
              </w:rPr>
              <w:t xml:space="preserve">注：证明材料</w:t>
            </w:r>
            <w:r>
              <w:rPr>
                <w:rFonts w:hint="eastAsia" w:ascii="Times New Roman" w:hAnsi="Times New Roman"/>
                <w:b/>
                <w:bCs/>
                <w:color w:val="auto"/>
                <w:sz w:val="24"/>
                <w:szCs w:val="24"/>
                <w:highlight w:val="none"/>
              </w:rPr>
              <w:t xml:space="preserve">提供</w:t>
            </w:r>
            <w:r>
              <w:rPr>
                <w:rFonts w:hint="eastAsia" w:ascii="Times New Roman" w:hAnsi="Times New Roman"/>
                <w:b/>
                <w:bCs/>
                <w:color w:val="auto"/>
                <w:sz w:val="24"/>
                <w:szCs w:val="24"/>
                <w:highlight w:val="none"/>
                <w:lang w:val="en-US" w:eastAsia="zh-CN"/>
              </w:rPr>
              <w:t xml:space="preserve">检测报告</w:t>
            </w:r>
            <w:r>
              <w:rPr>
                <w:rFonts w:hint="eastAsia" w:ascii="Times New Roman" w:hAnsi="Times New Roman"/>
                <w:b/>
                <w:bCs/>
                <w:color w:val="auto"/>
                <w:sz w:val="24"/>
                <w:szCs w:val="24"/>
                <w:highlight w:val="none"/>
              </w:rPr>
              <w:t xml:space="preserve">并加盖</w:t>
            </w:r>
            <w:r>
              <w:rPr>
                <w:rFonts w:hint="eastAsia" w:ascii="Times New Roman" w:hAnsi="Times New Roman"/>
                <w:b/>
                <w:bCs/>
                <w:color w:val="auto"/>
                <w:sz w:val="24"/>
                <w:szCs w:val="24"/>
                <w:highlight w:val="none"/>
                <w:lang w:eastAsia="zh-CN"/>
              </w:rPr>
              <w:t xml:space="preserve">投标人</w:t>
            </w:r>
            <w:r>
              <w:rPr>
                <w:rFonts w:hint="eastAsia" w:ascii="Times New Roman" w:hAnsi="Times New Roman"/>
                <w:b/>
                <w:bCs/>
                <w:color w:val="auto"/>
                <w:sz w:val="24"/>
                <w:szCs w:val="24"/>
                <w:highlight w:val="none"/>
              </w:rPr>
              <w:t xml:space="preserve">公章</w:t>
            </w:r>
            <w:r>
              <w:rPr>
                <w:rFonts w:hint="eastAsia" w:ascii="Times New Roman" w:hAnsi="Times New Roman"/>
                <w:b/>
                <w:bCs/>
                <w:color w:val="auto"/>
                <w:sz w:val="24"/>
                <w:szCs w:val="24"/>
                <w:highlight w:val="none"/>
                <w:lang w:eastAsia="zh-CN"/>
              </w:rPr>
              <w:t xml:space="preserve">，未提供或未按要求提供此项不得分</w:t>
            </w:r>
            <w:r>
              <w:rPr>
                <w:rFonts w:hint="eastAsia" w:ascii="宋体" w:hAnsi="宋体" w:eastAsia="宋体" w:cs="宋体"/>
                <w:b/>
                <w:bCs/>
                <w:color w:val="auto"/>
                <w:sz w:val="24"/>
                <w:highlight w:val="none"/>
                <w:lang w:eastAsia="zh-CN"/>
              </w:rPr>
              <w:t xml:space="preserve">。</w:t>
            </w:r>
            <w:r/>
          </w:p>
          <w:p>
            <w:pPr>
              <w:numPr>
                <w:ilvl w:val="0"/>
                <w:numId w:val="0"/>
              </w:numPr>
              <w:ind w:left="0" w:firstLine="480"/>
              <w:keepLines w:val="0"/>
              <w:keepNext w:val="0"/>
              <w:pageBreakBefore w:val="0"/>
              <w:spacing w:line="32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color w:val="auto"/>
                <w:sz w:val="24"/>
                <w:szCs w:val="24"/>
                <w:highlight w:val="none"/>
              </w:rPr>
            </w:pPr>
            <w:r>
              <w:rPr>
                <w:rFonts w:hint="eastAsia" w:cs="Times New Roman"/>
                <w:color w:val="auto"/>
                <w:sz w:val="24"/>
                <w:szCs w:val="24"/>
                <w:highlight w:val="none"/>
                <w:lang w:val="en-US" w:eastAsia="zh-CN" w:bidi="ar-SA"/>
              </w:rPr>
              <w:t xml:space="preserve">3、</w:t>
            </w:r>
            <w:r>
              <w:rPr>
                <w:rFonts w:hint="eastAsia" w:eastAsia="宋体"/>
                <w:color w:val="auto"/>
                <w:sz w:val="24"/>
                <w:szCs w:val="24"/>
                <w:highlight w:val="none"/>
                <w:lang w:eastAsia="zh-CN"/>
              </w:rPr>
              <w:t xml:space="preserve">所投</w:t>
            </w:r>
            <w:r>
              <w:rPr>
                <w:rFonts w:hint="eastAsia" w:ascii="Times New Roman" w:hAnsi="Times New Roman"/>
                <w:color w:val="auto"/>
                <w:sz w:val="24"/>
                <w:szCs w:val="24"/>
                <w:highlight w:val="none"/>
              </w:rPr>
              <w:t xml:space="preserve">云主机产品制造厂商售后服务体系须通过符合GB/T27922标准的售后服务完善程度认证，12星级得</w:t>
            </w:r>
            <w:r>
              <w:rPr>
                <w:rFonts w:hint="eastAsia" w:ascii="Times New Roman" w:eastAsia="宋体"/>
                <w:color w:val="auto"/>
                <w:sz w:val="24"/>
                <w:szCs w:val="24"/>
                <w:highlight w:val="none"/>
                <w:lang w:val="en-US" w:eastAsia="zh-CN"/>
              </w:rPr>
              <w:t xml:space="preserve">2</w:t>
            </w:r>
            <w:r>
              <w:rPr>
                <w:rFonts w:hint="eastAsia" w:ascii="Times New Roman" w:hAnsi="Times New Roman"/>
                <w:color w:val="auto"/>
                <w:sz w:val="24"/>
                <w:szCs w:val="24"/>
                <w:highlight w:val="none"/>
              </w:rPr>
              <w:t xml:space="preserve">分，11星级及以下得1分，没有不得分；</w:t>
            </w:r>
            <w:r/>
          </w:p>
          <w:p>
            <w:pPr>
              <w:numPr>
                <w:ilvl w:val="0"/>
                <w:numId w:val="0"/>
              </w:numPr>
              <w:ind w:left="0" w:firstLine="482"/>
              <w:keepLines w:val="0"/>
              <w:keepNext w:val="0"/>
              <w:pageBreakBefore w:val="0"/>
              <w:spacing w:line="32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auto"/>
                <w:sz w:val="24"/>
                <w:highlight w:val="none"/>
                <w:lang w:eastAsia="zh-CN"/>
              </w:rPr>
            </w:pPr>
            <w:r>
              <w:rPr>
                <w:rFonts w:hint="eastAsia" w:ascii="Times New Roman" w:hAnsi="Times New Roman"/>
                <w:b/>
                <w:bCs/>
                <w:color w:val="auto"/>
                <w:sz w:val="24"/>
                <w:szCs w:val="24"/>
                <w:highlight w:val="none"/>
                <w:lang w:eastAsia="zh-CN"/>
              </w:rPr>
              <w:t xml:space="preserve">注：证明材料</w:t>
            </w:r>
            <w:r>
              <w:rPr>
                <w:rFonts w:hint="eastAsia" w:ascii="Times New Roman" w:hAnsi="Times New Roman"/>
                <w:b/>
                <w:bCs/>
                <w:color w:val="auto"/>
                <w:sz w:val="24"/>
                <w:szCs w:val="24"/>
                <w:highlight w:val="none"/>
              </w:rPr>
              <w:t xml:space="preserve">提供证书复印件、全国认证认可信息公共服务平台查询链接及截图（截图需体现证书名称、查询官网名称）并加盖</w:t>
            </w:r>
            <w:r>
              <w:rPr>
                <w:rFonts w:hint="eastAsia" w:eastAsia="宋体"/>
                <w:b/>
                <w:bCs/>
                <w:color w:val="auto"/>
                <w:sz w:val="24"/>
                <w:szCs w:val="24"/>
                <w:highlight w:val="none"/>
                <w:lang w:eastAsia="zh-CN"/>
              </w:rPr>
              <w:t xml:space="preserve">投标人</w:t>
            </w:r>
            <w:r>
              <w:rPr>
                <w:rFonts w:hint="eastAsia"/>
                <w:b/>
                <w:bCs/>
                <w:color w:val="auto"/>
                <w:sz w:val="24"/>
                <w:szCs w:val="24"/>
                <w:highlight w:val="none"/>
                <w:lang w:eastAsia="zh-CN"/>
              </w:rPr>
              <w:t xml:space="preserve">公章</w:t>
            </w:r>
            <w:r>
              <w:rPr>
                <w:rFonts w:hint="eastAsia" w:eastAsia="宋体"/>
                <w:b/>
                <w:bCs/>
                <w:color w:val="auto"/>
                <w:sz w:val="24"/>
                <w:szCs w:val="24"/>
                <w:highlight w:val="none"/>
                <w:lang w:eastAsia="zh-CN"/>
              </w:rPr>
              <w:t xml:space="preserve">，</w:t>
            </w:r>
            <w:r>
              <w:rPr>
                <w:rFonts w:hint="eastAsia" w:ascii="Times New Roman" w:hAnsi="Times New Roman"/>
                <w:b/>
                <w:bCs/>
                <w:color w:val="auto"/>
                <w:sz w:val="24"/>
                <w:szCs w:val="24"/>
                <w:highlight w:val="none"/>
                <w:lang w:eastAsia="zh-CN"/>
              </w:rPr>
              <w:t xml:space="preserve">未提供或未按要求提供此项不得分</w:t>
            </w:r>
            <w:r>
              <w:rPr>
                <w:rFonts w:hint="eastAsia" w:ascii="Times New Roman" w:hAnsi="Times New Roman"/>
                <w:b/>
                <w:bCs/>
                <w:color w:val="auto"/>
                <w:sz w:val="24"/>
                <w:szCs w:val="24"/>
                <w:highlight w:val="none"/>
              </w:rPr>
              <w:t xml:space="preserve">。</w:t>
            </w:r>
            <w:r/>
          </w:p>
          <w:p>
            <w:pPr>
              <w:numPr>
                <w:ilvl w:val="0"/>
                <w:numId w:val="0"/>
              </w:numPr>
              <w:ind w:left="0" w:firstLine="480"/>
              <w:keepLines w:val="0"/>
              <w:keepNext w:val="0"/>
              <w:pageBreakBefore w:val="0"/>
              <w:spacing w:line="32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color w:val="auto"/>
                <w:sz w:val="24"/>
                <w:szCs w:val="24"/>
                <w:highlight w:val="none"/>
              </w:rPr>
            </w:pPr>
            <w:r>
              <w:rPr>
                <w:rFonts w:hint="eastAsia" w:ascii="Times New Roman" w:hAnsi="Times New Roman"/>
                <w:color w:val="auto"/>
                <w:sz w:val="24"/>
                <w:szCs w:val="24"/>
                <w:highlight w:val="none"/>
                <w:lang w:val="en-US" w:eastAsia="zh-CN"/>
              </w:rPr>
              <w:t xml:space="preserve">4、</w:t>
            </w:r>
            <w:r>
              <w:rPr>
                <w:rFonts w:hint="eastAsia" w:ascii="Times New Roman" w:hAnsi="Times New Roman"/>
                <w:color w:val="auto"/>
                <w:sz w:val="24"/>
                <w:szCs w:val="24"/>
                <w:highlight w:val="none"/>
              </w:rPr>
              <w:t xml:space="preserve">所投云主机产品需具有信息系统建设和服务能力；</w:t>
            </w:r>
            <w:r>
              <w:rPr>
                <w:rFonts w:hint="eastAsia" w:ascii="Times New Roman" w:eastAsia="宋体"/>
                <w:b w:val="0"/>
                <w:bCs w:val="0"/>
                <w:color w:val="auto"/>
                <w:sz w:val="24"/>
                <w:szCs w:val="24"/>
                <w:highlight w:val="none"/>
                <w:lang w:val="en-US" w:eastAsia="zh-CN"/>
              </w:rPr>
              <w:t xml:space="preserve">CS3级及以上（CS3、CS4、CS5）得2分，CS2级得1分，CS1级得0.5分</w:t>
            </w:r>
            <w:r>
              <w:rPr>
                <w:rFonts w:hint="eastAsia" w:ascii="Times New Roman" w:eastAsia="宋体"/>
                <w:b w:val="0"/>
                <w:bCs w:val="0"/>
                <w:color w:val="auto"/>
                <w:sz w:val="24"/>
                <w:szCs w:val="24"/>
                <w:highlight w:val="none"/>
                <w:lang w:val="en-US" w:eastAsia="zh-CN"/>
              </w:rPr>
              <w:t xml:space="preserve">，没有不得分。</w:t>
            </w:r>
            <w:r/>
          </w:p>
          <w:p>
            <w:pPr>
              <w:numPr>
                <w:ilvl w:val="0"/>
                <w:numId w:val="0"/>
              </w:numPr>
              <w:ind w:left="0" w:firstLine="482"/>
              <w:jc w:val="both"/>
              <w:keepLines w:val="0"/>
              <w:keepNext w:val="0"/>
              <w:pageBreakBefore w:val="0"/>
              <w:spacing w:before="0" w:beforeAutospacing="0" w:after="0" w:afterAutospacing="0" w:line="320" w:lineRule="atLeast"/>
              <w:widowControl/>
              <w:rPr>
                <w:rFonts w:hint="eastAsia" w:ascii="Times New Roman" w:hAnsi="Times New Roman" w:eastAsia="宋体" w:cs="Times New Roman"/>
                <w:b/>
                <w:bCs/>
                <w:color w:val="auto"/>
                <w:sz w:val="24"/>
                <w:szCs w:val="24"/>
                <w:highlight w:val="none"/>
                <w:lang w:val="en-US" w:eastAsia="zh-CN" w:bidi="ar-SA"/>
              </w:rPr>
            </w:pPr>
            <w:r>
              <w:rPr>
                <w:rFonts w:hint="eastAsia" w:ascii="Times New Roman" w:hAnsi="Times New Roman" w:eastAsia="宋体" w:cs="Times New Roman"/>
                <w:b/>
                <w:bCs/>
                <w:color w:val="auto"/>
                <w:sz w:val="24"/>
                <w:szCs w:val="24"/>
                <w:highlight w:val="none"/>
                <w:lang w:val="en-US" w:eastAsia="zh-CN" w:bidi="ar-SA"/>
              </w:rPr>
              <w:t xml:space="preserve">注：</w:t>
            </w:r>
            <w:r>
              <w:rPr>
                <w:rFonts w:hint="eastAsia" w:ascii="宋体" w:hAnsi="宋体" w:eastAsia="宋体" w:cs="Times New Roman"/>
                <w:b/>
                <w:bCs/>
                <w:color w:val="auto"/>
                <w:sz w:val="24"/>
                <w:szCs w:val="24"/>
                <w:highlight w:val="none"/>
                <w:lang w:val="en-US" w:eastAsia="zh-CN" w:bidi="ar-SA"/>
              </w:rPr>
              <w:t xml:space="preserve">证明材料提供设备制造商的信息系统建设和服务能力等级证书，信息系统建设和服务能力评估网查询链接及截图并加盖投标人公章，</w:t>
            </w:r>
            <w:r>
              <w:rPr>
                <w:rFonts w:hint="eastAsia" w:ascii="宋体" w:hAnsi="宋体" w:eastAsia="宋体" w:cs="宋体"/>
                <w:b/>
                <w:bCs/>
                <w:color w:val="auto"/>
                <w:sz w:val="24"/>
                <w:szCs w:val="24"/>
                <w:highlight w:val="none"/>
                <w:lang w:val="en-US" w:eastAsia="zh-CN" w:bidi="ar-SA"/>
              </w:rPr>
              <w:t xml:space="preserve">未提供或未按要求提供此项不得分。</w:t>
            </w:r>
            <w:r/>
          </w:p>
          <w:p>
            <w:pPr>
              <w:ind w:left="0" w:firstLine="480"/>
              <w:keepLines w:val="0"/>
              <w:keepNext w:val="0"/>
              <w:pageBreakBefore w:val="0"/>
              <w:spacing w:line="320" w:lineRule="atLeast"/>
              <w:rPr>
                <w:rFonts w:hint="eastAsia"/>
                <w:b w:val="0"/>
                <w:bCs w:val="0"/>
                <w:color w:val="auto"/>
                <w:sz w:val="24"/>
                <w:szCs w:val="24"/>
                <w:highlight w:val="none"/>
                <w:lang w:val="en-US" w:eastAsia="zh-CN"/>
              </w:rPr>
            </w:pPr>
            <w:r>
              <w:rPr>
                <w:rFonts w:hint="default" w:ascii="Times New Roman" w:hAnsi="Times New Roman" w:cs="Times New Roman"/>
                <w:b w:val="0"/>
                <w:bCs w:val="0"/>
                <w:color w:val="auto"/>
                <w:sz w:val="24"/>
                <w:szCs w:val="24"/>
                <w:highlight w:val="none"/>
                <w:lang w:val="en-US" w:eastAsia="zh-CN"/>
              </w:rPr>
              <w:t xml:space="preserve">5、</w:t>
            </w:r>
            <w:r>
              <w:rPr>
                <w:rFonts w:hint="eastAsia" w:ascii="Times New Roman" w:eastAsia="宋体"/>
                <w:b w:val="0"/>
                <w:bCs w:val="0"/>
                <w:color w:val="auto"/>
                <w:sz w:val="24"/>
                <w:szCs w:val="24"/>
                <w:highlight w:val="none"/>
                <w:lang w:val="en-US" w:eastAsia="zh-CN"/>
              </w:rPr>
              <w:t xml:space="preserve">为响应国家节能减排、绿色环保的政策，云主机产品制造商须具备GB/T39257制造企业绿色供应链管理体系认证证书，满足得1分，不满足不得分。</w:t>
            </w:r>
            <w:r/>
          </w:p>
          <w:p>
            <w:pPr>
              <w:numPr>
                <w:ilvl w:val="0"/>
                <w:numId w:val="0"/>
              </w:numPr>
              <w:ind w:left="0" w:firstLine="482"/>
              <w:jc w:val="both"/>
              <w:keepLines w:val="0"/>
              <w:keepNext w:val="0"/>
              <w:pageBreakBefore w:val="0"/>
              <w:spacing w:before="0" w:beforeAutospacing="0" w:after="0" w:afterAutospacing="0" w:line="320" w:lineRule="atLeast"/>
              <w:widowControl/>
              <w:rPr>
                <w:rFonts w:hint="eastAsia" w:ascii="Times New Roman" w:hAnsi="Times New Roman" w:eastAsia="宋体" w:cs="Times New Roman"/>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注：证明材料提供证书复印件、全国认证认可信息公共服务平台查询链接及截图并加盖投标人公章，</w:t>
            </w:r>
            <w:r>
              <w:rPr>
                <w:rFonts w:hint="eastAsia" w:ascii="宋体" w:hAnsi="宋体" w:eastAsia="宋体" w:cs="宋体"/>
                <w:b/>
                <w:bCs/>
                <w:color w:val="auto"/>
                <w:sz w:val="24"/>
                <w:szCs w:val="24"/>
                <w:highlight w:val="none"/>
                <w:lang w:val="en-US" w:eastAsia="zh-CN" w:bidi="ar-SA"/>
              </w:rPr>
              <w:t xml:space="preserve">未提供或未按要求提供此项不得分。</w:t>
            </w:r>
            <w:r/>
          </w:p>
          <w:p>
            <w:pPr>
              <w:numPr>
                <w:ilvl w:val="0"/>
                <w:numId w:val="0"/>
              </w:numPr>
              <w:ind w:left="0" w:firstLine="480"/>
              <w:keepLines w:val="0"/>
              <w:keepNext w:val="0"/>
              <w:pageBreakBefore w:val="0"/>
              <w:spacing w:line="32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color w:val="auto"/>
                <w:sz w:val="24"/>
                <w:szCs w:val="24"/>
                <w:highlight w:val="none"/>
              </w:rPr>
            </w:pPr>
            <w:r>
              <w:rPr>
                <w:rFonts w:hint="eastAsia" w:ascii="Times New Roman" w:eastAsia="宋体"/>
                <w:color w:val="auto"/>
                <w:sz w:val="24"/>
                <w:szCs w:val="24"/>
                <w:highlight w:val="none"/>
                <w:lang w:val="en-US" w:eastAsia="zh-CN"/>
              </w:rPr>
              <w:t xml:space="preserve">6、所投融媒体软件系统应支持将动画设计软件中设计的独立动画按“时间+事件+外部触发”的方式组合编辑播出同时进行引出项的导入和设置,满足得1分，不满足不得分；</w:t>
            </w:r>
            <w:r/>
          </w:p>
          <w:p>
            <w:pPr>
              <w:numPr>
                <w:ilvl w:val="0"/>
                <w:numId w:val="0"/>
              </w:numPr>
              <w:ind w:left="0" w:firstLine="482"/>
              <w:keepLines w:val="0"/>
              <w:keepNext w:val="0"/>
              <w:pageBreakBefore w:val="0"/>
              <w:spacing w:line="32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b/>
                <w:bCs/>
                <w:color w:val="auto"/>
                <w:sz w:val="24"/>
                <w:szCs w:val="24"/>
                <w:highlight w:val="none"/>
                <w:lang w:eastAsia="zh-CN"/>
              </w:rPr>
            </w:pPr>
            <w:r>
              <w:rPr>
                <w:rFonts w:hint="eastAsia" w:ascii="Times New Roman" w:hAnsi="Times New Roman"/>
                <w:b/>
                <w:bCs/>
                <w:color w:val="auto"/>
                <w:sz w:val="24"/>
                <w:szCs w:val="24"/>
                <w:highlight w:val="none"/>
                <w:lang w:eastAsia="zh-CN"/>
              </w:rPr>
              <w:t xml:space="preserve">注：</w:t>
            </w:r>
            <w:r>
              <w:rPr>
                <w:rFonts w:hint="eastAsia" w:ascii="Times New Roman" w:hAnsi="Times New Roman"/>
                <w:b/>
                <w:bCs/>
                <w:color w:val="auto"/>
                <w:sz w:val="24"/>
                <w:szCs w:val="24"/>
                <w:highlight w:val="none"/>
                <w:lang w:val="en-US" w:eastAsia="zh-CN"/>
              </w:rPr>
              <w:t xml:space="preserve">提供演示</w:t>
            </w:r>
            <w:r>
              <w:rPr>
                <w:rFonts w:hint="eastAsia" w:ascii="Times New Roman" w:eastAsia="宋体"/>
                <w:b/>
                <w:bCs/>
                <w:color w:val="auto"/>
                <w:sz w:val="24"/>
                <w:szCs w:val="24"/>
                <w:highlight w:val="none"/>
                <w:lang w:val="en-US" w:eastAsia="zh-CN"/>
              </w:rPr>
              <w:t xml:space="preserve">画面截图</w:t>
            </w:r>
            <w:r>
              <w:rPr>
                <w:rFonts w:hint="eastAsia" w:ascii="Times New Roman" w:hAnsi="Times New Roman"/>
                <w:b/>
                <w:bCs/>
                <w:color w:val="auto"/>
                <w:sz w:val="24"/>
                <w:szCs w:val="24"/>
                <w:highlight w:val="none"/>
                <w:lang w:val="en-US" w:eastAsia="zh-CN"/>
              </w:rPr>
              <w:t xml:space="preserve">及国家广电总局检测报</w:t>
            </w:r>
            <w:r>
              <w:rPr>
                <w:rFonts w:hint="eastAsia" w:ascii="Times New Roman" w:eastAsia="宋体"/>
                <w:b/>
                <w:bCs/>
                <w:color w:val="auto"/>
                <w:sz w:val="24"/>
                <w:szCs w:val="24"/>
                <w:highlight w:val="none"/>
                <w:lang w:val="en-US" w:eastAsia="zh-CN"/>
              </w:rPr>
              <w:t xml:space="preserve">告</w:t>
            </w:r>
            <w:r>
              <w:rPr>
                <w:rFonts w:hint="eastAsia" w:ascii="Times New Roman" w:hAnsi="Times New Roman"/>
                <w:b/>
                <w:bCs/>
                <w:color w:val="auto"/>
                <w:sz w:val="24"/>
                <w:szCs w:val="24"/>
                <w:highlight w:val="none"/>
                <w:lang w:val="en-US" w:eastAsia="zh-CN"/>
              </w:rPr>
              <w:t xml:space="preserve">复印件并加盖投标人公章</w:t>
            </w:r>
            <w:r>
              <w:rPr>
                <w:rFonts w:hint="eastAsia" w:ascii="Times New Roman" w:eastAsia="宋体"/>
                <w:b/>
                <w:bCs/>
                <w:color w:val="auto"/>
                <w:sz w:val="24"/>
                <w:szCs w:val="24"/>
                <w:highlight w:val="none"/>
                <w:lang w:val="en-US" w:eastAsia="zh-CN"/>
              </w:rPr>
              <w:t xml:space="preserve">，</w:t>
            </w:r>
            <w:r>
              <w:rPr>
                <w:rFonts w:hint="eastAsia" w:eastAsia="宋体" w:cs="宋体"/>
                <w:b/>
                <w:bCs/>
                <w:color w:val="auto"/>
                <w:sz w:val="24"/>
                <w:szCs w:val="24"/>
                <w:highlight w:val="none"/>
                <w:lang w:val="en-US" w:eastAsia="zh-CN"/>
              </w:rPr>
              <w:t xml:space="preserve">未提供或未按要求提供此项不得分</w:t>
            </w:r>
            <w:r>
              <w:rPr>
                <w:rFonts w:hint="eastAsia" w:ascii="Times New Roman" w:hAnsi="Times New Roman"/>
                <w:b/>
                <w:bCs/>
                <w:color w:val="auto"/>
                <w:sz w:val="24"/>
                <w:szCs w:val="24"/>
                <w:highlight w:val="none"/>
                <w:lang w:val="en-US" w:eastAsia="zh-CN"/>
              </w:rPr>
              <w:t xml:space="preserve">。</w:t>
            </w:r>
            <w:r/>
          </w:p>
          <w:p>
            <w:pPr>
              <w:numPr>
                <w:ilvl w:val="0"/>
                <w:numId w:val="0"/>
              </w:numPr>
              <w:ind w:left="0" w:firstLine="480"/>
              <w:keepLines w:val="0"/>
              <w:keepNext w:val="0"/>
              <w:pageBreakBefore w:val="0"/>
              <w:spacing w:line="32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b/>
                <w:bCs/>
                <w:color w:val="auto"/>
                <w:sz w:val="24"/>
                <w:szCs w:val="24"/>
                <w:highlight w:val="none"/>
                <w:lang w:val="en-US" w:eastAsia="zh-CN"/>
              </w:rPr>
            </w:pPr>
            <w:r>
              <w:rPr>
                <w:rFonts w:hint="eastAsia" w:ascii="Times New Roman" w:eastAsia="宋体"/>
                <w:color w:val="auto"/>
                <w:sz w:val="24"/>
                <w:szCs w:val="24"/>
                <w:highlight w:val="none"/>
                <w:lang w:val="en-US" w:eastAsia="zh-CN"/>
              </w:rPr>
              <w:t xml:space="preserve">7、所投融媒体软件系统应支持模板化组件，对物体材质、色彩、运动方式、字体和光影等所有属性都可组合为模板，后续播出软件使用时可以模板化组件整体导入使用，</w:t>
            </w:r>
            <w:r>
              <w:rPr>
                <w:rFonts w:hint="eastAsia" w:ascii="Times New Roman" w:hAnsi="Times New Roman"/>
                <w:color w:val="auto"/>
                <w:sz w:val="24"/>
                <w:szCs w:val="24"/>
                <w:highlight w:val="none"/>
                <w:lang w:val="en-US" w:eastAsia="zh-CN"/>
              </w:rPr>
              <w:t xml:space="preserve">满足得</w:t>
            </w:r>
            <w:r>
              <w:rPr>
                <w:rFonts w:hint="eastAsia" w:ascii="Times New Roman" w:eastAsia="宋体"/>
                <w:color w:val="auto"/>
                <w:sz w:val="24"/>
                <w:szCs w:val="24"/>
                <w:highlight w:val="none"/>
                <w:lang w:val="en-US" w:eastAsia="zh-CN"/>
              </w:rPr>
              <w:t xml:space="preserve">1</w:t>
            </w:r>
            <w:r>
              <w:rPr>
                <w:rFonts w:hint="eastAsia" w:ascii="Times New Roman" w:hAnsi="Times New Roman"/>
                <w:color w:val="auto"/>
                <w:sz w:val="24"/>
                <w:szCs w:val="24"/>
                <w:highlight w:val="none"/>
                <w:lang w:val="en-US" w:eastAsia="zh-CN"/>
              </w:rPr>
              <w:t xml:space="preserve">分，不满足不得分</w:t>
            </w:r>
            <w:r>
              <w:rPr>
                <w:rFonts w:hint="eastAsia" w:ascii="Times New Roman" w:eastAsia="宋体"/>
                <w:color w:val="auto"/>
                <w:sz w:val="24"/>
                <w:szCs w:val="24"/>
                <w:highlight w:val="none"/>
                <w:lang w:val="en-US" w:eastAsia="zh-CN"/>
              </w:rPr>
              <w:t xml:space="preserve">；</w:t>
            </w:r>
            <w:r/>
          </w:p>
          <w:p>
            <w:pPr>
              <w:numPr>
                <w:ilvl w:val="0"/>
                <w:numId w:val="0"/>
              </w:numPr>
              <w:ind w:left="0" w:firstLine="482"/>
              <w:keepLines w:val="0"/>
              <w:keepNext w:val="0"/>
              <w:pageBreakBefore w:val="0"/>
              <w:spacing w:line="32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b/>
                <w:bCs/>
                <w:color w:val="auto"/>
                <w:sz w:val="24"/>
                <w:szCs w:val="24"/>
                <w:highlight w:val="none"/>
                <w:lang w:val="en-US" w:eastAsia="zh-CN"/>
              </w:rPr>
            </w:pPr>
            <w:r>
              <w:rPr>
                <w:rFonts w:hint="eastAsia" w:ascii="Times New Roman" w:eastAsia="宋体"/>
                <w:b/>
                <w:bCs/>
                <w:color w:val="auto"/>
                <w:sz w:val="24"/>
                <w:szCs w:val="24"/>
                <w:highlight w:val="none"/>
                <w:lang w:val="en-US" w:eastAsia="zh-CN"/>
              </w:rPr>
              <w:t xml:space="preserve">注：提供国家广电总局检测报告复印件</w:t>
            </w:r>
            <w:r>
              <w:rPr>
                <w:rFonts w:hint="eastAsia" w:ascii="Times New Roman" w:hAnsi="Times New Roman"/>
                <w:b/>
                <w:bCs/>
                <w:color w:val="auto"/>
                <w:sz w:val="24"/>
                <w:szCs w:val="24"/>
                <w:highlight w:val="none"/>
                <w:lang w:val="en-US" w:eastAsia="zh-CN"/>
              </w:rPr>
              <w:t xml:space="preserve">并加盖</w:t>
            </w:r>
            <w:r>
              <w:rPr>
                <w:rFonts w:hint="eastAsia" w:ascii="Times New Roman" w:eastAsia="宋体"/>
                <w:b/>
                <w:bCs/>
                <w:color w:val="auto"/>
                <w:sz w:val="24"/>
                <w:szCs w:val="24"/>
                <w:highlight w:val="none"/>
                <w:lang w:val="en-US" w:eastAsia="zh-CN"/>
              </w:rPr>
              <w:t xml:space="preserve">投标人</w:t>
            </w:r>
            <w:r>
              <w:rPr>
                <w:rFonts w:hint="eastAsia" w:ascii="Times New Roman" w:hAnsi="Times New Roman"/>
                <w:b/>
                <w:bCs/>
                <w:color w:val="auto"/>
                <w:sz w:val="24"/>
                <w:szCs w:val="24"/>
                <w:highlight w:val="none"/>
                <w:lang w:val="en-US" w:eastAsia="zh-CN"/>
              </w:rPr>
              <w:t xml:space="preserve">公章</w:t>
            </w:r>
            <w:r>
              <w:rPr>
                <w:rFonts w:hint="eastAsia" w:ascii="Times New Roman" w:eastAsia="宋体"/>
                <w:b/>
                <w:bCs/>
                <w:color w:val="auto"/>
                <w:sz w:val="24"/>
                <w:szCs w:val="24"/>
                <w:highlight w:val="none"/>
                <w:lang w:val="en-US" w:eastAsia="zh-CN"/>
              </w:rPr>
              <w:t xml:space="preserve">，</w:t>
            </w:r>
            <w:r>
              <w:rPr>
                <w:rFonts w:hint="eastAsia" w:eastAsia="宋体" w:cs="宋体"/>
                <w:b/>
                <w:bCs/>
                <w:color w:val="auto"/>
                <w:sz w:val="24"/>
                <w:szCs w:val="24"/>
                <w:highlight w:val="none"/>
                <w:lang w:val="en-US" w:eastAsia="zh-CN"/>
              </w:rPr>
              <w:t xml:space="preserve">未提供或未按要求提供此项不得分</w:t>
            </w:r>
            <w:r>
              <w:rPr>
                <w:rFonts w:hint="eastAsia" w:ascii="Times New Roman" w:hAnsi="Times New Roman"/>
                <w:b/>
                <w:bCs/>
                <w:color w:val="auto"/>
                <w:sz w:val="24"/>
                <w:szCs w:val="24"/>
                <w:highlight w:val="none"/>
                <w:lang w:val="en-US" w:eastAsia="zh-CN"/>
              </w:rPr>
              <w:t xml:space="preserve">。</w:t>
            </w:r>
            <w:r/>
          </w:p>
          <w:p>
            <w:pPr>
              <w:numPr>
                <w:ilvl w:val="0"/>
                <w:numId w:val="0"/>
              </w:numPr>
              <w:ind w:left="0" w:firstLine="480"/>
              <w:keepLines w:val="0"/>
              <w:keepNext w:val="0"/>
              <w:pageBreakBefore w:val="0"/>
              <w:spacing w:line="32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val="0"/>
                <w:color w:val="auto"/>
                <w:sz w:val="24"/>
                <w:szCs w:val="24"/>
                <w:highlight w:val="none"/>
                <w:lang w:val="en-US" w:eastAsia="zh-CN"/>
              </w:rPr>
            </w:pPr>
            <w:r>
              <w:rPr>
                <w:rFonts w:hint="eastAsia" w:ascii="Times New Roman" w:eastAsia="宋体"/>
                <w:color w:val="auto"/>
                <w:sz w:val="24"/>
                <w:szCs w:val="24"/>
                <w:highlight w:val="none"/>
                <w:lang w:val="en-US" w:eastAsia="zh-CN"/>
              </w:rPr>
              <w:t xml:space="preserve">8、所投融媒体软件系统支持在播出列表中可以对在线包装系统、大屏幕渲染系统、虚拟植入系统等进行混合编组播控，</w:t>
            </w:r>
            <w:r>
              <w:rPr>
                <w:rFonts w:hint="eastAsia" w:ascii="Times New Roman" w:hAnsi="Times New Roman"/>
                <w:color w:val="auto"/>
                <w:sz w:val="24"/>
                <w:szCs w:val="24"/>
                <w:highlight w:val="none"/>
                <w:lang w:val="en-US" w:eastAsia="zh-CN"/>
              </w:rPr>
              <w:t xml:space="preserve">满足得</w:t>
            </w:r>
            <w:r>
              <w:rPr>
                <w:rFonts w:hint="eastAsia" w:ascii="Times New Roman" w:eastAsia="宋体"/>
                <w:color w:val="auto"/>
                <w:sz w:val="24"/>
                <w:szCs w:val="24"/>
                <w:highlight w:val="none"/>
                <w:lang w:val="en-US" w:eastAsia="zh-CN"/>
              </w:rPr>
              <w:t xml:space="preserve">1</w:t>
            </w:r>
            <w:r>
              <w:rPr>
                <w:rFonts w:hint="eastAsia" w:ascii="Times New Roman" w:hAnsi="Times New Roman"/>
                <w:color w:val="auto"/>
                <w:sz w:val="24"/>
                <w:szCs w:val="24"/>
                <w:highlight w:val="none"/>
                <w:lang w:val="en-US" w:eastAsia="zh-CN"/>
              </w:rPr>
              <w:t xml:space="preserve">分，不满足不得分</w:t>
            </w:r>
            <w:r>
              <w:rPr>
                <w:rFonts w:hint="eastAsia" w:ascii="Times New Roman" w:eastAsia="宋体"/>
                <w:color w:val="auto"/>
                <w:sz w:val="24"/>
                <w:szCs w:val="24"/>
                <w:highlight w:val="none"/>
                <w:lang w:val="en-US" w:eastAsia="zh-CN"/>
              </w:rPr>
              <w:t xml:space="preserve">；</w:t>
            </w:r>
            <w:r/>
          </w:p>
          <w:p>
            <w:pPr>
              <w:numPr>
                <w:ilvl w:val="0"/>
                <w:numId w:val="0"/>
              </w:numPr>
              <w:ind w:left="0" w:firstLine="482"/>
              <w:keepLines w:val="0"/>
              <w:keepNext w:val="0"/>
              <w:pageBreakBefore w:val="0"/>
              <w:spacing w:line="320" w:lineRule="atLeas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b w:val="0"/>
                <w:bCs w:val="0"/>
                <w:color w:val="auto"/>
                <w:sz w:val="24"/>
                <w:szCs w:val="24"/>
                <w:highlight w:val="none"/>
                <w:lang w:val="en-US" w:eastAsia="zh-CN"/>
              </w:rPr>
            </w:pPr>
            <w:r>
              <w:rPr>
                <w:rFonts w:hint="eastAsia" w:ascii="Times New Roman" w:hAnsi="Times New Roman"/>
                <w:b/>
                <w:bCs/>
                <w:color w:val="auto"/>
                <w:sz w:val="24"/>
                <w:szCs w:val="24"/>
                <w:highlight w:val="none"/>
                <w:lang w:eastAsia="zh-CN"/>
              </w:rPr>
              <w:t xml:space="preserve">注：</w:t>
            </w:r>
            <w:r>
              <w:rPr>
                <w:rFonts w:hint="eastAsia" w:ascii="Times New Roman" w:eastAsia="宋体"/>
                <w:b/>
                <w:bCs/>
                <w:color w:val="auto"/>
                <w:sz w:val="24"/>
                <w:szCs w:val="24"/>
                <w:highlight w:val="none"/>
                <w:lang w:val="en-US" w:eastAsia="zh-CN"/>
              </w:rPr>
              <w:t xml:space="preserve">提供国家广电总局检测报告复印件</w:t>
            </w:r>
            <w:r>
              <w:rPr>
                <w:rFonts w:hint="eastAsia" w:ascii="Times New Roman" w:hAnsi="Times New Roman"/>
                <w:b/>
                <w:bCs/>
                <w:color w:val="auto"/>
                <w:sz w:val="24"/>
                <w:szCs w:val="24"/>
                <w:highlight w:val="none"/>
                <w:lang w:val="en-US" w:eastAsia="zh-CN"/>
              </w:rPr>
              <w:t xml:space="preserve">并加盖</w:t>
            </w:r>
            <w:r>
              <w:rPr>
                <w:rFonts w:hint="eastAsia" w:ascii="Times New Roman" w:eastAsia="宋体"/>
                <w:b/>
                <w:bCs/>
                <w:color w:val="auto"/>
                <w:sz w:val="24"/>
                <w:szCs w:val="24"/>
                <w:highlight w:val="none"/>
                <w:lang w:val="en-US" w:eastAsia="zh-CN"/>
              </w:rPr>
              <w:t xml:space="preserve">投标人</w:t>
            </w:r>
            <w:r>
              <w:rPr>
                <w:rFonts w:hint="eastAsia" w:ascii="Times New Roman" w:hAnsi="Times New Roman"/>
                <w:b/>
                <w:bCs/>
                <w:color w:val="auto"/>
                <w:sz w:val="24"/>
                <w:szCs w:val="24"/>
                <w:highlight w:val="none"/>
                <w:lang w:val="en-US" w:eastAsia="zh-CN"/>
              </w:rPr>
              <w:t xml:space="preserve">公章</w:t>
            </w:r>
            <w:r>
              <w:rPr>
                <w:rFonts w:hint="eastAsia" w:ascii="Times New Roman" w:eastAsia="宋体"/>
                <w:b/>
                <w:bCs/>
                <w:color w:val="auto"/>
                <w:sz w:val="24"/>
                <w:szCs w:val="24"/>
                <w:highlight w:val="none"/>
                <w:lang w:val="en-US" w:eastAsia="zh-CN"/>
              </w:rPr>
              <w:t xml:space="preserve">，</w:t>
            </w:r>
            <w:r>
              <w:rPr>
                <w:rFonts w:hint="eastAsia" w:eastAsia="宋体" w:cs="宋体"/>
                <w:b/>
                <w:bCs/>
                <w:color w:val="auto"/>
                <w:sz w:val="24"/>
                <w:szCs w:val="24"/>
                <w:highlight w:val="none"/>
                <w:lang w:val="en-US" w:eastAsia="zh-CN"/>
              </w:rPr>
              <w:t xml:space="preserve">未提供或未按要求提供此项不得分</w:t>
            </w:r>
            <w:r>
              <w:rPr>
                <w:rFonts w:hint="eastAsia" w:ascii="Times New Roman" w:hAnsi="Times New Roman"/>
                <w:b/>
                <w:bCs/>
                <w:color w:val="auto"/>
                <w:sz w:val="24"/>
                <w:szCs w:val="24"/>
                <w:highlight w:val="none"/>
                <w:lang w:val="en-US" w:eastAsia="zh-CN"/>
              </w:rPr>
              <w:t xml:space="preserve">。</w:t>
            </w:r>
            <w:r/>
          </w:p>
        </w:tc>
        <w:tc>
          <w:tcPr>
            <w:tcW w:w="1430" w:type="dxa"/>
            <w:vAlign w:val="center"/>
            <w:textDirection w:val="lrTb"/>
            <w:noWrap w:val="false"/>
          </w:tcPr>
          <w:p>
            <w:pPr>
              <w:ind w:firstLine="480"/>
              <w:jc w:val="both"/>
              <w:keepLines w:val="0"/>
              <w:keepNext w:val="0"/>
              <w:pageBreakBefore w:val="0"/>
              <w:spacing w:line="400" w:lineRule="exact"/>
              <w:rPr>
                <w:rFonts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10</w:t>
            </w:r>
            <w:r/>
          </w:p>
        </w:tc>
      </w:tr>
    </w:tbl>
    <w:p>
      <w:pPr>
        <w:pStyle w:val="1015"/>
        <w:numPr>
          <w:ilvl w:val="0"/>
          <w:numId w:val="0"/>
        </w:numPr>
        <w:jc w:val="left"/>
        <w:rPr>
          <w:rFonts w:hint="eastAsia" w:ascii="宋体" w:hAnsi="宋体" w:eastAsia="宋体" w:cs="宋体"/>
          <w:b/>
          <w:bCs/>
          <w:color w:val="auto"/>
          <w:sz w:val="22"/>
          <w:szCs w:val="13"/>
          <w:highlight w:val="none"/>
          <w:lang w:val="en-US" w:eastAsia="zh-CN"/>
        </w:rPr>
      </w:pPr>
      <w:r>
        <w:rPr>
          <w:rFonts w:hint="eastAsia" w:ascii="宋体" w:hAnsi="宋体" w:eastAsia="宋体" w:cs="宋体"/>
          <w:b/>
          <w:bCs/>
          <w:color w:val="auto"/>
          <w:sz w:val="22"/>
          <w:szCs w:val="13"/>
          <w:highlight w:val="none"/>
          <w:lang w:val="en-US" w:eastAsia="zh-CN"/>
        </w:rPr>
        <w:t xml:space="preserve">注：投标人必须确保所提供证明材料的真实性，必要时配合采购人提供原件备查；如提供虚假证明材料，将取消其中标资格并追究相关责任。</w:t>
      </w:r>
      <w:r/>
    </w:p>
    <w:p>
      <w:pPr>
        <w:pStyle w:val="1015"/>
        <w:numPr>
          <w:ilvl w:val="0"/>
          <w:numId w:val="0"/>
        </w:numPr>
        <w:rPr>
          <w:rFonts w:hint="eastAsia" w:ascii="宋体" w:hAnsi="宋体" w:eastAsia="宋体" w:cs="宋体"/>
          <w:b/>
          <w:bCs/>
          <w:color w:val="auto"/>
          <w:sz w:val="22"/>
          <w:szCs w:val="13"/>
          <w:highlight w:val="none"/>
        </w:rPr>
        <w:sectPr>
          <w:footerReference w:type="default" r:id="rId18"/>
          <w:footerReference w:type="first" r:id="rId19"/>
          <w:footnotePr/>
          <w:endnotePr/>
          <w:type w:val="nextPage"/>
          <w:pgSz w:w="11906" w:h="16838" w:orient="portrait"/>
          <w:pgMar w:top="1134" w:right="1134" w:bottom="1134" w:left="1134" w:header="720" w:footer="720" w:gutter="0"/>
          <w:cols w:num="1" w:sep="0" w:space="1701" w:equalWidth="1"/>
          <w:docGrid w:linePitch="360"/>
        </w:sectPr>
      </w:pPr>
      <w:r>
        <w:rPr>
          <w:rFonts w:hint="eastAsia" w:ascii="宋体" w:hAnsi="宋体" w:eastAsia="宋体" w:cs="宋体"/>
          <w:b/>
          <w:bCs/>
          <w:color w:val="auto"/>
          <w:sz w:val="22"/>
          <w:szCs w:val="13"/>
          <w:highlight w:val="none"/>
        </w:rPr>
      </w:r>
      <w:r/>
    </w:p>
    <w:p>
      <w:pPr>
        <w:rPr>
          <w:rFonts w:hint="eastAsia"/>
          <w:color w:val="auto"/>
          <w:highlight w:val="none"/>
        </w:rPr>
      </w:pPr>
      <w:r>
        <w:rPr>
          <w:rFonts w:hint="eastAsia"/>
          <w:color w:val="auto"/>
          <w:highlight w:val="none"/>
        </w:rPr>
      </w:r>
      <w:r/>
    </w:p>
    <w:p>
      <w:pPr>
        <w:pStyle w:val="1015"/>
        <w:numPr>
          <w:ilvl w:val="0"/>
          <w:numId w:val="0"/>
        </w:numPr>
        <w:rPr>
          <w:rFonts w:hAnsi="宋体"/>
          <w:b w:val="0"/>
          <w:color w:val="auto"/>
          <w:highlight w:val="none"/>
        </w:rPr>
      </w:pPr>
      <w:r/>
      <w:bookmarkStart w:id="18" w:name="_Toc16962"/>
      <w:r>
        <w:rPr>
          <w:rFonts w:hint="eastAsia" w:hAnsi="宋体"/>
          <w:b w:val="0"/>
          <w:color w:val="auto"/>
          <w:highlight w:val="none"/>
        </w:rPr>
        <w:t xml:space="preserve">第</w:t>
      </w:r>
      <w:r>
        <w:rPr>
          <w:rFonts w:hint="eastAsia" w:hAnsi="宋体"/>
          <w:b w:val="0"/>
          <w:color w:val="auto"/>
          <w:highlight w:val="none"/>
          <w:lang w:eastAsia="zh-CN"/>
        </w:rPr>
        <w:t xml:space="preserve">六</w:t>
      </w:r>
      <w:r>
        <w:rPr>
          <w:rFonts w:hint="eastAsia" w:hAnsi="宋体"/>
          <w:b w:val="0"/>
          <w:color w:val="auto"/>
          <w:highlight w:val="none"/>
        </w:rPr>
        <w:t xml:space="preserve">章  投标文件格式</w:t>
      </w:r>
      <w:bookmarkEnd w:id="14"/>
      <w:r/>
      <w:bookmarkEnd w:id="15"/>
      <w:r/>
      <w:bookmarkEnd w:id="16"/>
      <w:r/>
      <w:bookmarkEnd w:id="18"/>
      <w:r/>
      <w:r/>
    </w:p>
    <w:p>
      <w:pPr>
        <w:ind w:firstLine="1044"/>
        <w:jc w:val="center"/>
        <w:rPr>
          <w:rFonts w:hint="eastAsia" w:ascii="宋体" w:hAnsi="宋体"/>
          <w:b/>
          <w:color w:val="auto"/>
          <w:sz w:val="52"/>
          <w:szCs w:val="52"/>
          <w:highlight w:val="none"/>
        </w:rPr>
      </w:pPr>
      <w:r>
        <w:rPr>
          <w:rFonts w:hint="eastAsia" w:ascii="宋体" w:hAnsi="宋体"/>
          <w:b/>
          <w:color w:val="auto"/>
          <w:sz w:val="52"/>
          <w:szCs w:val="52"/>
          <w:highlight w:val="none"/>
        </w:rPr>
      </w:r>
      <w:r/>
    </w:p>
    <w:p>
      <w:pPr>
        <w:ind w:firstLine="2168"/>
        <w:jc w:val="both"/>
        <w:rPr>
          <w:rFonts w:ascii="宋体" w:hAnsi="宋体" w:eastAsia="宋体" w:cs="Times New Roman"/>
          <w:b/>
          <w:color w:val="auto"/>
          <w:sz w:val="72"/>
          <w:szCs w:val="21"/>
          <w:highlight w:val="none"/>
        </w:rPr>
      </w:pPr>
      <w:r>
        <w:rPr>
          <w:rFonts w:hint="eastAsia" w:ascii="宋体" w:hAnsi="宋体" w:eastAsia="宋体" w:cs="Times New Roman"/>
          <w:b/>
          <w:color w:val="auto"/>
          <w:sz w:val="72"/>
          <w:szCs w:val="21"/>
          <w:highlight w:val="none"/>
        </w:rPr>
        <w:t xml:space="preserve">投  标  文  件</w:t>
      </w:r>
      <w:r/>
    </w:p>
    <w:p>
      <w:pPr>
        <w:jc w:val="center"/>
        <w:rPr>
          <w:rFonts w:ascii="宋体" w:hAnsi="宋体" w:eastAsia="宋体" w:cs="Times New Roman"/>
          <w:b/>
          <w:color w:val="auto"/>
          <w:sz w:val="72"/>
          <w:szCs w:val="21"/>
          <w:highlight w:val="none"/>
        </w:rPr>
      </w:pPr>
      <w:r>
        <w:rPr>
          <w:rFonts w:ascii="宋体" w:hAnsi="宋体" w:eastAsia="宋体" w:cs="Times New Roman"/>
          <w:b/>
          <w:color w:val="auto"/>
          <w:sz w:val="72"/>
          <w:szCs w:val="21"/>
          <w:highlight w:val="none"/>
        </w:rPr>
      </w:r>
      <w:r/>
    </w:p>
    <w:p>
      <w:pPr>
        <w:jc w:val="center"/>
        <w:rPr>
          <w:rFonts w:ascii="宋体" w:hAnsi="宋体" w:eastAsia="宋体" w:cs="Times New Roman"/>
          <w:b/>
          <w:color w:val="auto"/>
          <w:sz w:val="72"/>
          <w:szCs w:val="21"/>
          <w:highlight w:val="none"/>
        </w:rPr>
      </w:pPr>
      <w:r>
        <w:rPr>
          <w:rFonts w:ascii="宋体" w:hAnsi="宋体" w:eastAsia="宋体" w:cs="Times New Roman"/>
          <w:b/>
          <w:color w:val="auto"/>
          <w:sz w:val="72"/>
          <w:szCs w:val="21"/>
          <w:highlight w:val="none"/>
        </w:rPr>
      </w:r>
      <w:r/>
    </w:p>
    <w:p>
      <w:pPr>
        <w:jc w:val="center"/>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jc w:val="center"/>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jc w:val="center"/>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ind w:firstLine="1807"/>
        <w:rPr>
          <w:rFonts w:ascii="宋体" w:hAnsi="宋体" w:eastAsia="宋体" w:cs="Times New Roman"/>
          <w:b/>
          <w:color w:val="auto"/>
          <w:sz w:val="36"/>
          <w:szCs w:val="21"/>
          <w:highlight w:val="none"/>
        </w:rPr>
      </w:pPr>
      <w:r>
        <w:rPr>
          <w:rFonts w:hint="eastAsia" w:ascii="宋体" w:hAnsi="宋体" w:eastAsia="宋体" w:cs="Times New Roman"/>
          <w:b/>
          <w:color w:val="auto"/>
          <w:sz w:val="36"/>
          <w:szCs w:val="21"/>
          <w:highlight w:val="none"/>
        </w:rPr>
        <w:t xml:space="preserve">项 目 名 称：</w:t>
      </w:r>
      <w:r>
        <w:rPr>
          <w:rFonts w:hint="eastAsia" w:ascii="宋体" w:hAnsi="宋体" w:eastAsia="宋体" w:cs="Times New Roman"/>
          <w:b/>
          <w:color w:val="auto"/>
          <w:sz w:val="36"/>
          <w:szCs w:val="21"/>
          <w:highlight w:val="none"/>
          <w:u w:val="single"/>
        </w:rPr>
        <w:t xml:space="preserve">                   </w:t>
      </w:r>
      <w:r/>
    </w:p>
    <w:p>
      <w:pPr>
        <w:ind w:firstLine="1807"/>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项 目 编 号：</w:t>
      </w:r>
      <w:r>
        <w:rPr>
          <w:rFonts w:hint="eastAsia" w:ascii="宋体" w:hAnsi="宋体" w:eastAsia="宋体" w:cs="Times New Roman"/>
          <w:b/>
          <w:color w:val="auto"/>
          <w:sz w:val="36"/>
          <w:szCs w:val="21"/>
          <w:highlight w:val="none"/>
          <w:u w:val="single"/>
        </w:rPr>
        <w:t xml:space="preserve">                   </w:t>
      </w:r>
      <w:r/>
    </w:p>
    <w:p>
      <w:pPr>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      投标人名称 ：</w:t>
      </w:r>
      <w:r>
        <w:rPr>
          <w:rFonts w:hint="eastAsia" w:ascii="宋体" w:hAnsi="宋体" w:eastAsia="宋体" w:cs="Times New Roman"/>
          <w:b/>
          <w:color w:val="auto"/>
          <w:sz w:val="36"/>
          <w:szCs w:val="21"/>
          <w:highlight w:val="none"/>
          <w:u w:val="single"/>
        </w:rPr>
        <w:t xml:space="preserve">（加盖CA电子公章）</w:t>
      </w:r>
      <w:r/>
    </w:p>
    <w:p>
      <w:pPr>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      日      期 ：</w:t>
      </w:r>
      <w:r>
        <w:rPr>
          <w:rFonts w:hint="eastAsia" w:ascii="宋体" w:hAnsi="宋体" w:eastAsia="宋体" w:cs="Times New Roman"/>
          <w:b/>
          <w:color w:val="auto"/>
          <w:sz w:val="36"/>
          <w:szCs w:val="21"/>
          <w:highlight w:val="none"/>
          <w:u w:val="single"/>
        </w:rPr>
        <w:t xml:space="preserve">                   </w:t>
      </w:r>
      <w:r/>
    </w:p>
    <w:p>
      <w:pPr>
        <w:ind w:left="0" w:firstLine="0"/>
        <w:jc w:val="left"/>
        <w:keepLines/>
        <w:keepNext/>
        <w:spacing w:before="360" w:after="200" w:line="360" w:lineRule="auto"/>
        <w:rPr>
          <w:rFonts w:ascii="宋体" w:hAnsi="宋体" w:eastAsia="宋体" w:cs="宋体"/>
          <w:i/>
          <w:color w:val="auto"/>
          <w:sz w:val="30"/>
          <w:szCs w:val="30"/>
          <w:highlight w:val="none"/>
          <w:u w:val="single"/>
        </w:rPr>
        <w:outlineLvl w:val="1"/>
      </w:pPr>
      <w:r>
        <w:rPr>
          <w:rFonts w:hAnsi="宋体"/>
          <w:color w:val="auto"/>
          <w:sz w:val="36"/>
          <w:highlight w:val="none"/>
        </w:rPr>
        <w:br w:type="page" w:clear="all"/>
      </w:r>
      <w:r>
        <w:rPr>
          <w:rFonts w:hint="eastAsia" w:ascii="宋体" w:hAnsi="宋体" w:eastAsia="宋体" w:cs="宋体"/>
          <w:i/>
          <w:color w:val="auto"/>
          <w:sz w:val="30"/>
          <w:szCs w:val="30"/>
          <w:highlight w:val="none"/>
          <w:u w:val="single"/>
        </w:rPr>
        <w:t xml:space="preserve">一、法人或者其他组织的营业执照等证明文件，自然人的身份证明</w:t>
      </w:r>
      <w:r/>
    </w:p>
    <w:p>
      <w:pPr>
        <w:ind w:left="0" w:firstLine="0"/>
        <w:jc w:val="left"/>
        <w:keepLines/>
        <w:keepNext/>
        <w:spacing w:before="360" w:after="200" w:line="360" w:lineRule="auto"/>
        <w:rPr>
          <w:rFonts w:ascii="Arial" w:hAnsi="Arial" w:eastAsia="宋体" w:cs="Arial"/>
          <w:i/>
          <w:color w:val="auto"/>
          <w:sz w:val="30"/>
          <w:szCs w:val="30"/>
          <w:highlight w:val="none"/>
          <w:u w:val="single"/>
        </w:rPr>
        <w:outlineLvl w:val="1"/>
      </w:pPr>
      <w:r>
        <w:rPr>
          <w:rFonts w:hint="eastAsia" w:ascii="Arial" w:hAnsi="Arial" w:eastAsia="宋体" w:cs="Arial"/>
          <w:i/>
          <w:color w:val="auto"/>
          <w:sz w:val="30"/>
          <w:szCs w:val="30"/>
          <w:highlight w:val="none"/>
          <w:u w:val="single"/>
        </w:rPr>
        <w:t xml:space="preserve">二、上一年度的财务状况报告</w:t>
      </w:r>
      <w:r/>
    </w:p>
    <w:p>
      <w:pPr>
        <w:ind w:left="0" w:firstLine="0"/>
        <w:jc w:val="left"/>
        <w:spacing w:line="500" w:lineRule="exact"/>
        <w:rPr>
          <w:color w:val="auto"/>
          <w:sz w:val="24"/>
          <w:szCs w:val="24"/>
          <w:highlight w:val="none"/>
        </w:rPr>
      </w:pPr>
      <w:r>
        <w:rPr>
          <w:rFonts w:hint="eastAsia"/>
          <w:color w:val="auto"/>
          <w:sz w:val="24"/>
          <w:szCs w:val="24"/>
          <w:highlight w:val="none"/>
        </w:rPr>
        <w:t xml:space="preserve">（成立不满一年无需提供）</w:t>
      </w:r>
      <w:r/>
    </w:p>
    <w:p>
      <w:pPr>
        <w:ind w:left="0" w:firstLine="0"/>
        <w:jc w:val="left"/>
        <w:keepLines/>
        <w:keepNext/>
        <w:spacing w:before="360" w:after="200" w:line="360" w:lineRule="auto"/>
        <w:rPr>
          <w:rFonts w:hint="eastAsia" w:ascii="Arial" w:hAnsi="Arial" w:eastAsia="宋体" w:cs="Arial"/>
          <w:i/>
          <w:color w:val="auto"/>
          <w:sz w:val="30"/>
          <w:szCs w:val="30"/>
          <w:highlight w:val="none"/>
          <w:u w:val="single"/>
        </w:rPr>
        <w:outlineLvl w:val="1"/>
      </w:pPr>
      <w:r>
        <w:rPr>
          <w:rFonts w:hint="eastAsia" w:ascii="Arial" w:hAnsi="Arial" w:eastAsia="宋体" w:cs="Arial"/>
          <w:i/>
          <w:color w:val="auto"/>
          <w:sz w:val="30"/>
          <w:szCs w:val="30"/>
          <w:highlight w:val="none"/>
          <w:u w:val="single"/>
        </w:rPr>
        <w:t xml:space="preserve">三、依法缴纳税收和社会保障资金的相关材料</w:t>
      </w:r>
      <w:r/>
    </w:p>
    <w:p>
      <w:pPr>
        <w:ind w:firstLine="480"/>
        <w:jc w:val="left"/>
        <w:spacing w:line="500" w:lineRule="exact"/>
        <w:rPr>
          <w:color w:val="auto"/>
          <w:sz w:val="24"/>
          <w:szCs w:val="24"/>
          <w:highlight w:val="none"/>
        </w:rPr>
      </w:pPr>
      <w:r>
        <w:rPr>
          <w:rFonts w:hint="eastAsia"/>
          <w:color w:val="auto"/>
          <w:sz w:val="24"/>
          <w:szCs w:val="24"/>
          <w:highlight w:val="none"/>
        </w:rPr>
        <w:t xml:space="preserve">（提供提交投标文件截止时间前一年内至少一个月依法缴纳税收及缴纳社会保障资金的证明材料，投标人依法享受缓缴、免缴税收、社会保障资金的提供证明材料）</w:t>
      </w:r>
      <w:r/>
    </w:p>
    <w:p>
      <w:pPr>
        <w:rPr>
          <w:color w:val="auto"/>
          <w:highlight w:val="none"/>
        </w:rPr>
      </w:pPr>
      <w:r>
        <w:rPr>
          <w:color w:val="auto"/>
          <w:highlight w:val="none"/>
        </w:rPr>
      </w:r>
      <w:r/>
    </w:p>
    <w:p>
      <w:pPr>
        <w:jc w:val="center"/>
        <w:spacing w:line="360" w:lineRule="auto"/>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财务状况报告及税收、社会保障资金缴纳情况承诺函</w:t>
      </w:r>
      <w:r/>
    </w:p>
    <w:p>
      <w:pPr>
        <w:jc w:val="left"/>
        <w:rPr>
          <w:rFonts w:ascii="MS Mincho" w:hAnsi="Calibri" w:eastAsia="宋体" w:cs="Times New Roman"/>
          <w:color w:val="auto"/>
          <w:szCs w:val="24"/>
          <w:highlight w:val="none"/>
        </w:rPr>
      </w:pPr>
      <w:r>
        <w:rPr>
          <w:rFonts w:ascii="MS Mincho" w:hAnsi="Calibri" w:eastAsia="宋体" w:cs="Times New Roman"/>
          <w:color w:val="auto"/>
          <w:szCs w:val="24"/>
          <w:highlight w:val="none"/>
        </w:rPr>
      </w:r>
      <w:r/>
    </w:p>
    <w:p>
      <w:pPr>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致：</w:t>
      </w:r>
      <w:r>
        <w:rPr>
          <w:rFonts w:hint="eastAsia" w:ascii="Calibri" w:hAnsi="Calibri" w:eastAsia="宋体" w:cs="Times New Roman"/>
          <w:i/>
          <w:color w:val="auto"/>
          <w:sz w:val="24"/>
          <w:szCs w:val="24"/>
          <w:highlight w:val="none"/>
          <w:u w:val="single"/>
        </w:rPr>
        <w:t xml:space="preserve">采购人名称</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我方</w:t>
      </w:r>
      <w:r>
        <w:rPr>
          <w:rFonts w:hint="eastAsia"/>
          <w:i/>
          <w:color w:val="auto"/>
          <w:sz w:val="24"/>
          <w:szCs w:val="24"/>
          <w:highlight w:val="none"/>
          <w:u w:val="single"/>
        </w:rPr>
        <w:t xml:space="preserve">供应商</w:t>
      </w:r>
      <w:r>
        <w:rPr>
          <w:rFonts w:hint="eastAsia" w:ascii="Calibri" w:hAnsi="Calibri" w:eastAsia="宋体" w:cs="Times New Roman"/>
          <w:i/>
          <w:color w:val="auto"/>
          <w:sz w:val="24"/>
          <w:szCs w:val="24"/>
          <w:highlight w:val="none"/>
          <w:u w:val="single"/>
        </w:rPr>
        <w:t xml:space="preserve">名称</w:t>
      </w:r>
      <w:r>
        <w:rPr>
          <w:rFonts w:hint="eastAsia" w:ascii="Calibri" w:hAnsi="Calibri" w:eastAsia="宋体" w:cs="Times New Roman"/>
          <w:color w:val="auto"/>
          <w:sz w:val="24"/>
          <w:szCs w:val="24"/>
          <w:highlight w:val="none"/>
        </w:rPr>
        <w:t xml:space="preserve">参加</w:t>
      </w:r>
      <w:r>
        <w:rPr>
          <w:rFonts w:hint="eastAsia" w:ascii="Calibri" w:hAnsi="Calibri" w:eastAsia="宋体" w:cs="Times New Roman"/>
          <w:i/>
          <w:color w:val="auto"/>
          <w:sz w:val="24"/>
          <w:szCs w:val="24"/>
          <w:highlight w:val="none"/>
          <w:u w:val="single"/>
        </w:rPr>
        <w:t xml:space="preserve">项目名称</w:t>
      </w:r>
      <w:r>
        <w:rPr>
          <w:rFonts w:hint="eastAsia" w:ascii="Calibri" w:hAnsi="Calibri" w:eastAsia="宋体" w:cs="Times New Roman"/>
          <w:color w:val="auto"/>
          <w:sz w:val="24"/>
          <w:szCs w:val="24"/>
          <w:highlight w:val="none"/>
        </w:rPr>
        <w:t xml:space="preserve">（项目编号：</w:t>
      </w:r>
      <w:r>
        <w:rPr>
          <w:rFonts w:hint="eastAsia" w:ascii="Calibri" w:hAnsi="Calibri" w:eastAsia="宋体" w:cs="Times New Roman"/>
          <w:i/>
          <w:color w:val="auto"/>
          <w:sz w:val="24"/>
          <w:szCs w:val="24"/>
          <w:highlight w:val="none"/>
          <w:u w:val="single"/>
        </w:rPr>
        <w:t xml:space="preserve">项目编号</w:t>
      </w:r>
      <w:r>
        <w:rPr>
          <w:rFonts w:hint="eastAsia" w:ascii="Calibri" w:hAnsi="Calibri" w:eastAsia="宋体" w:cs="Times New Roman"/>
          <w:color w:val="auto"/>
          <w:sz w:val="24"/>
          <w:szCs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（1）具有良好的商业信誉和健全的财务会计制度（财务状况报告）；</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（2）有依法缴纳税收和社会保障资金的良好记录。</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特此承诺</w:t>
      </w:r>
      <w:r/>
    </w:p>
    <w:p>
      <w:pPr>
        <w:ind w:firstLine="480"/>
        <w:jc w:val="left"/>
        <w:spacing w:line="500" w:lineRule="exact"/>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供应商（公章）：</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Calibri" w:hAnsi="Calibri" w:eastAsia="宋体" w:cs="Times New Roman"/>
          <w:color w:val="auto"/>
          <w:sz w:val="24"/>
          <w:szCs w:val="24"/>
          <w:highlight w:val="none"/>
        </w:rPr>
        <w:t xml:space="preserve">或委托代理人（签名或签章）：</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日期：    年     月     日</w:t>
      </w:r>
      <w:r/>
    </w:p>
    <w:p>
      <w:pPr>
        <w:rPr>
          <w:color w:val="auto"/>
          <w:highlight w:val="none"/>
        </w:rPr>
      </w:pPr>
      <w:r>
        <w:rPr>
          <w:color w:val="auto"/>
          <w:highlight w:val="none"/>
        </w:rPr>
      </w:r>
      <w:r/>
    </w:p>
    <w:p>
      <w:pPr>
        <w:ind w:left="0" w:firstLine="0"/>
        <w:jc w:val="left"/>
        <w:keepLines/>
        <w:keepNext/>
        <w:spacing w:before="360" w:after="200" w:line="360" w:lineRule="auto"/>
        <w:rPr>
          <w:rFonts w:hint="eastAsia" w:ascii="Arial" w:hAnsi="Arial" w:eastAsia="宋体" w:cs="Arial"/>
          <w:i/>
          <w:color w:val="auto"/>
          <w:sz w:val="30"/>
          <w:szCs w:val="30"/>
          <w:highlight w:val="none"/>
          <w:u w:val="single"/>
        </w:rPr>
        <w:outlineLvl w:val="1"/>
      </w:pPr>
      <w:r>
        <w:rPr>
          <w:rFonts w:hint="eastAsia" w:ascii="Arial" w:hAnsi="Arial" w:eastAsia="宋体" w:cs="Arial"/>
          <w:i/>
          <w:color w:val="auto"/>
          <w:sz w:val="30"/>
          <w:szCs w:val="30"/>
          <w:highlight w:val="none"/>
          <w:u w:val="single"/>
        </w:rPr>
        <w:t xml:space="preserve">四、具备履行合同所必需的设备和专业技术能力的声明及证明材料</w:t>
      </w:r>
      <w:r/>
    </w:p>
    <w:p>
      <w:pPr>
        <w:jc w:val="center"/>
        <w:spacing w:line="460" w:lineRule="exact"/>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r>
      <w:r/>
    </w:p>
    <w:p>
      <w:pPr>
        <w:jc w:val="center"/>
        <w:spacing w:line="460" w:lineRule="exact"/>
        <w:rPr>
          <w:rFonts w:ascii="Calibri" w:hAnsi="Calibri" w:eastAsia="宋体" w:cs="Times New Roman"/>
          <w:color w:val="auto"/>
          <w:sz w:val="24"/>
          <w:szCs w:val="24"/>
          <w:highlight w:val="none"/>
        </w:rPr>
      </w:pPr>
      <w:r>
        <w:rPr>
          <w:rFonts w:hint="eastAsia" w:ascii="黑体" w:hAnsi="黑体" w:eastAsia="黑体" w:cs="宋体"/>
          <w:bCs/>
          <w:color w:val="auto"/>
          <w:sz w:val="36"/>
          <w:szCs w:val="28"/>
          <w:highlight w:val="none"/>
        </w:rPr>
        <w:t xml:space="preserve">具备履行合同所必需的设备和专业技术能力的声明及证明材料</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主要设备有：</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 xml:space="preserve">。（须附证明材料）</w:t>
      </w:r>
      <w:r/>
    </w:p>
    <w:p>
      <w:pPr>
        <w:jc w:val="left"/>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ind w:firstLine="480"/>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主要专业技术能力有：</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 xml:space="preserve">。（须附证明材料）</w:t>
      </w:r>
      <w:r/>
    </w:p>
    <w:p>
      <w:pPr>
        <w:ind w:firstLine="480"/>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ind w:firstLine="480"/>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ind w:firstLine="480"/>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投标人（盖章）：</w:t>
      </w:r>
      <w:r/>
    </w:p>
    <w:p>
      <w:pPr>
        <w:ind w:firstLine="480"/>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Calibri" w:hAnsi="Calibri" w:eastAsia="宋体" w:cs="Times New Roman"/>
          <w:color w:val="auto"/>
          <w:sz w:val="24"/>
          <w:szCs w:val="24"/>
          <w:highlight w:val="none"/>
        </w:rPr>
        <w:t xml:space="preserve">或委托代理人（签字或盖章）：</w:t>
      </w:r>
      <w:r/>
    </w:p>
    <w:p>
      <w:pPr>
        <w:ind w:firstLine="480"/>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日期：    年     月     日</w:t>
      </w:r>
      <w:r/>
    </w:p>
    <w:p>
      <w:pPr>
        <w:jc w:val="left"/>
        <w:rPr>
          <w:rFonts w:ascii="MS Mincho" w:hAnsi="Calibri" w:eastAsia="宋体" w:cs="Times New Roman"/>
          <w:color w:val="auto"/>
          <w:szCs w:val="24"/>
          <w:highlight w:val="none"/>
        </w:rPr>
      </w:pPr>
      <w:r>
        <w:rPr>
          <w:rFonts w:ascii="MS Mincho" w:hAnsi="Calibri" w:eastAsia="宋体" w:cs="Times New Roman"/>
          <w:color w:val="auto"/>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附主要设备和主要专业技术能力的证明材料如下：</w:t>
      </w:r>
      <w:r/>
    </w:p>
    <w:p>
      <w:pPr>
        <w:ind w:left="0" w:firstLine="0"/>
        <w:jc w:val="left"/>
        <w:keepLines/>
        <w:keepNext/>
        <w:spacing w:before="360" w:after="200" w:line="360" w:lineRule="auto"/>
        <w:rPr>
          <w:rFonts w:hint="eastAsia" w:ascii="Arial" w:hAnsi="Arial" w:eastAsia="宋体" w:cs="Arial"/>
          <w:i/>
          <w:iCs/>
          <w:color w:val="auto"/>
          <w:sz w:val="30"/>
          <w:szCs w:val="30"/>
          <w:highlight w:val="none"/>
          <w:u w:val="single"/>
        </w:rPr>
        <w:sectPr>
          <w:footnotePr/>
          <w:endnotePr/>
          <w:type w:val="nextPage"/>
          <w:pgSz w:w="11906" w:h="16838" w:orient="portrait"/>
          <w:pgMar w:top="1134" w:right="1134" w:bottom="1134" w:left="1134" w:header="720" w:footer="720" w:gutter="0"/>
          <w:cols w:num="1" w:sep="0" w:space="1701" w:equalWidth="1"/>
          <w:docGrid w:linePitch="360"/>
        </w:sectPr>
        <w:outlineLvl w:val="1"/>
      </w:pPr>
      <w:r>
        <w:rPr>
          <w:rFonts w:hint="eastAsia" w:ascii="Arial" w:hAnsi="Arial" w:eastAsia="宋体" w:cs="Arial"/>
          <w:i/>
          <w:iCs/>
          <w:color w:val="auto"/>
          <w:sz w:val="30"/>
          <w:szCs w:val="30"/>
          <w:highlight w:val="none"/>
          <w:u w:val="single"/>
        </w:rPr>
      </w:r>
      <w:r/>
    </w:p>
    <w:p>
      <w:pPr>
        <w:ind w:left="0" w:firstLine="0"/>
        <w:jc w:val="left"/>
        <w:keepLines/>
        <w:keepNext/>
        <w:spacing w:before="360" w:after="200" w:line="360" w:lineRule="auto"/>
        <w:rPr>
          <w:rFonts w:ascii="Arial" w:hAnsi="Arial" w:eastAsia="宋体" w:cs="Arial"/>
          <w:i/>
          <w:iCs/>
          <w:color w:val="auto"/>
          <w:sz w:val="30"/>
          <w:szCs w:val="30"/>
          <w:highlight w:val="none"/>
          <w:u w:val="single"/>
        </w:rPr>
        <w:outlineLvl w:val="1"/>
      </w:pPr>
      <w:r>
        <w:rPr>
          <w:rFonts w:hint="eastAsia" w:ascii="Arial" w:hAnsi="Arial" w:eastAsia="宋体" w:cs="Arial"/>
          <w:i/>
          <w:iCs/>
          <w:color w:val="auto"/>
          <w:sz w:val="30"/>
          <w:szCs w:val="30"/>
          <w:highlight w:val="none"/>
          <w:u w:val="single"/>
        </w:rPr>
        <w:t xml:space="preserve">五、参加政府采购活动前3年内在经营活动中没有重大违法记录的书面声明</w:t>
      </w:r>
      <w:r/>
    </w:p>
    <w:p>
      <w:pPr>
        <w:jc w:val="center"/>
        <w:spacing w:line="460" w:lineRule="exact"/>
        <w:rPr>
          <w:rFonts w:ascii="宋体" w:hAnsi="宋体" w:eastAsia="宋体" w:cs="Times New Roman"/>
          <w:b/>
          <w:bCs/>
          <w:color w:val="auto"/>
          <w:sz w:val="44"/>
          <w:szCs w:val="44"/>
          <w:highlight w:val="none"/>
        </w:rPr>
      </w:pPr>
      <w:r>
        <w:rPr>
          <w:rFonts w:hint="eastAsia" w:ascii="黑体" w:hAnsi="黑体" w:eastAsia="黑体" w:cs="宋体"/>
          <w:bCs/>
          <w:color w:val="auto"/>
          <w:sz w:val="36"/>
          <w:szCs w:val="28"/>
          <w:highlight w:val="none"/>
        </w:rPr>
        <w:t xml:space="preserve">声  明</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投标人（盖章）：</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Calibri" w:hAnsi="Calibri" w:eastAsia="宋体" w:cs="Times New Roman"/>
          <w:color w:val="auto"/>
          <w:sz w:val="24"/>
          <w:szCs w:val="24"/>
          <w:highlight w:val="none"/>
        </w:rPr>
        <w:t xml:space="preserve">或委托代理人（签字或盖章）：</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日期：    年     月     日</w:t>
      </w:r>
      <w:r/>
    </w:p>
    <w:p>
      <w:pPr>
        <w:rPr>
          <w:color w:val="auto"/>
          <w:highlight w:val="none"/>
        </w:rPr>
      </w:pPr>
      <w:r>
        <w:rPr>
          <w:color w:val="auto"/>
          <w:highlight w:val="none"/>
        </w:rPr>
      </w:r>
      <w:r/>
    </w:p>
    <w:p>
      <w:pPr>
        <w:rPr>
          <w:color w:val="auto"/>
          <w:highlight w:val="none"/>
        </w:rPr>
        <w:sectPr>
          <w:footnotePr/>
          <w:endnotePr/>
          <w:type w:val="nextPage"/>
          <w:pgSz w:w="11906" w:h="16838" w:orient="portrait"/>
          <w:pgMar w:top="1134" w:right="1134" w:bottom="1134" w:left="1134" w:header="720" w:footer="720" w:gutter="0"/>
          <w:pgNumType w:start="1"/>
          <w:cols w:num="1" w:sep="0" w:space="1701" w:equalWidth="1"/>
          <w:docGrid w:linePitch="360"/>
        </w:sectPr>
      </w:pPr>
      <w:r>
        <w:rPr>
          <w:color w:val="auto"/>
          <w:highlight w:val="none"/>
        </w:rPr>
      </w:r>
      <w:r/>
    </w:p>
    <w:p>
      <w:pPr>
        <w:rPr>
          <w:color w:val="auto"/>
          <w:highlight w:val="none"/>
        </w:rPr>
      </w:pPr>
      <w:r>
        <w:rPr>
          <w:color w:val="auto"/>
          <w:highlight w:val="none"/>
        </w:rPr>
      </w:r>
      <w:r/>
    </w:p>
    <w:p>
      <w:pPr>
        <w:ind w:left="0" w:firstLine="0"/>
        <w:jc w:val="left"/>
        <w:keepLines/>
        <w:keepNext/>
        <w:spacing w:before="360" w:after="200" w:line="360" w:lineRule="auto"/>
        <w:rPr>
          <w:rFonts w:ascii="Arial" w:hAnsi="Arial" w:eastAsia="宋体" w:cs="Arial"/>
          <w:i/>
          <w:iCs/>
          <w:color w:val="auto"/>
          <w:sz w:val="30"/>
          <w:szCs w:val="30"/>
          <w:highlight w:val="none"/>
          <w:u w:val="single"/>
        </w:rPr>
        <w:outlineLvl w:val="1"/>
      </w:pPr>
      <w:r>
        <w:rPr>
          <w:rFonts w:hint="eastAsia" w:ascii="Arial" w:hAnsi="Arial" w:eastAsia="宋体" w:cs="Arial"/>
          <w:i/>
          <w:iCs/>
          <w:color w:val="auto"/>
          <w:sz w:val="30"/>
          <w:szCs w:val="30"/>
          <w:highlight w:val="none"/>
          <w:u w:val="single"/>
        </w:rPr>
        <w:t xml:space="preserve">六、法律、行政法规规定的其他条件的证明文件</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（如有，请按要求提供）</w:t>
      </w:r>
      <w:r/>
    </w:p>
    <w:p>
      <w:pPr>
        <w:ind w:left="0" w:firstLine="0"/>
        <w:jc w:val="left"/>
        <w:keepLines/>
        <w:keepNext/>
        <w:spacing w:before="360" w:after="200" w:line="360" w:lineRule="auto"/>
        <w:rPr>
          <w:rFonts w:ascii="Arial" w:hAnsi="Arial" w:eastAsia="宋体" w:cs="Arial"/>
          <w:i/>
          <w:iCs/>
          <w:color w:val="auto"/>
          <w:sz w:val="30"/>
          <w:szCs w:val="30"/>
          <w:highlight w:val="none"/>
          <w:u w:val="single"/>
        </w:rPr>
        <w:outlineLvl w:val="1"/>
      </w:pPr>
      <w:r>
        <w:rPr>
          <w:rFonts w:hint="eastAsia" w:ascii="Arial" w:hAnsi="Arial" w:eastAsia="宋体" w:cs="Arial"/>
          <w:i/>
          <w:iCs/>
          <w:color w:val="auto"/>
          <w:sz w:val="30"/>
          <w:szCs w:val="30"/>
          <w:highlight w:val="none"/>
          <w:u w:val="single"/>
        </w:rPr>
        <w:t xml:space="preserve">七、落实政府采购政策需满足的资格要求的证明文件</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（如有，请按要求提供）</w:t>
      </w:r>
      <w:r/>
    </w:p>
    <w:p>
      <w:pPr>
        <w:ind w:left="0" w:firstLine="0"/>
        <w:jc w:val="left"/>
        <w:keepLines/>
        <w:keepNext/>
        <w:spacing w:before="360" w:after="200" w:line="360" w:lineRule="auto"/>
        <w:rPr>
          <w:rFonts w:ascii="Arial" w:hAnsi="Arial" w:eastAsia="宋体" w:cs="Arial"/>
          <w:i/>
          <w:iCs/>
          <w:color w:val="auto"/>
          <w:sz w:val="30"/>
          <w:szCs w:val="30"/>
          <w:highlight w:val="none"/>
          <w:u w:val="single"/>
        </w:rPr>
        <w:outlineLvl w:val="1"/>
      </w:pPr>
      <w:r>
        <w:rPr>
          <w:rFonts w:hint="eastAsia" w:ascii="Arial" w:hAnsi="Arial" w:eastAsia="宋体" w:cs="Arial"/>
          <w:i/>
          <w:iCs/>
          <w:color w:val="auto"/>
          <w:sz w:val="30"/>
          <w:szCs w:val="30"/>
          <w:highlight w:val="none"/>
          <w:u w:val="single"/>
        </w:rPr>
        <w:t xml:space="preserve">八、特定资格要求的证明文件</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（如有，请按要求提供）</w:t>
      </w:r>
      <w:r/>
    </w:p>
    <w:p>
      <w:pPr>
        <w:ind w:left="0" w:firstLine="0"/>
        <w:jc w:val="left"/>
        <w:keepLines/>
        <w:keepNext/>
        <w:spacing w:before="360" w:after="200" w:line="360" w:lineRule="auto"/>
        <w:rPr>
          <w:rFonts w:hint="eastAsia" w:ascii="Arial" w:hAnsi="Arial" w:eastAsia="宋体" w:cs="Arial"/>
          <w:i/>
          <w:iCs/>
          <w:color w:val="auto"/>
          <w:sz w:val="30"/>
          <w:szCs w:val="30"/>
          <w:highlight w:val="none"/>
          <w:u w:val="single"/>
        </w:rPr>
        <w:sectPr>
          <w:footnotePr/>
          <w:endnotePr/>
          <w:type w:val="nextPage"/>
          <w:pgSz w:w="11906" w:h="16838" w:orient="portrait"/>
          <w:pgMar w:top="1134" w:right="1134" w:bottom="1134" w:left="1134" w:header="720" w:footer="720" w:gutter="0"/>
          <w:pgNumType w:start="1"/>
          <w:cols w:num="1" w:sep="0" w:space="1701" w:equalWidth="1"/>
          <w:docGrid w:linePitch="360"/>
        </w:sectPr>
        <w:outlineLvl w:val="1"/>
      </w:pPr>
      <w:r>
        <w:rPr>
          <w:rFonts w:hint="eastAsia" w:ascii="Arial" w:hAnsi="Arial" w:eastAsia="宋体" w:cs="Arial"/>
          <w:i/>
          <w:iCs/>
          <w:color w:val="auto"/>
          <w:sz w:val="30"/>
          <w:szCs w:val="30"/>
          <w:highlight w:val="none"/>
          <w:u w:val="single"/>
        </w:rPr>
      </w:r>
      <w:r/>
    </w:p>
    <w:p>
      <w:pPr>
        <w:ind w:left="0" w:firstLine="0"/>
        <w:jc w:val="left"/>
        <w:keepLines/>
        <w:keepNext/>
        <w:spacing w:before="360" w:after="200" w:line="360" w:lineRule="auto"/>
        <w:rPr>
          <w:rFonts w:ascii="Arial" w:hAnsi="Arial" w:eastAsia="宋体" w:cs="Arial"/>
          <w:i/>
          <w:iCs/>
          <w:color w:val="auto"/>
          <w:sz w:val="30"/>
          <w:szCs w:val="30"/>
          <w:highlight w:val="none"/>
          <w:u w:val="single"/>
        </w:rPr>
        <w:outlineLvl w:val="1"/>
      </w:pPr>
      <w:r>
        <w:rPr>
          <w:rFonts w:hint="eastAsia" w:ascii="Arial" w:hAnsi="Arial" w:eastAsia="宋体" w:cs="Arial"/>
          <w:i/>
          <w:iCs/>
          <w:color w:val="auto"/>
          <w:sz w:val="30"/>
          <w:szCs w:val="30"/>
          <w:highlight w:val="none"/>
          <w:u w:val="single"/>
        </w:rPr>
        <w:t xml:space="preserve">九、授权委托书与法定代表人（单位负责人）身份证明</w:t>
      </w:r>
      <w:r/>
    </w:p>
    <w:p>
      <w:pPr>
        <w:jc w:val="center"/>
        <w:spacing w:line="360" w:lineRule="exact"/>
        <w:rPr>
          <w:rFonts w:ascii="宋体" w:hAnsi="宋体" w:eastAsia="宋体" w:cs="Times New Roman"/>
          <w:b/>
          <w:color w:val="auto"/>
          <w:sz w:val="36"/>
          <w:szCs w:val="36"/>
          <w:highlight w:val="none"/>
        </w:rPr>
      </w:pPr>
      <w:r>
        <w:rPr>
          <w:rFonts w:hint="eastAsia" w:ascii="宋体" w:hAnsi="宋体" w:eastAsia="宋体" w:cs="Times New Roman"/>
          <w:b/>
          <w:color w:val="auto"/>
          <w:sz w:val="36"/>
          <w:szCs w:val="36"/>
          <w:highlight w:val="none"/>
        </w:rPr>
        <w:t xml:space="preserve">授权委托书</w:t>
      </w:r>
      <w:r/>
    </w:p>
    <w:p>
      <w:pPr>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t xml:space="preserve">致：</w:t>
      </w:r>
      <w:r>
        <w:rPr>
          <w:rFonts w:hint="eastAsia" w:ascii="Calibri" w:hAnsi="Calibri" w:eastAsia="宋体" w:cs="Times New Roman"/>
          <w:color w:val="auto"/>
          <w:sz w:val="24"/>
          <w:szCs w:val="24"/>
          <w:highlight w:val="none"/>
          <w:u w:val="single"/>
        </w:rPr>
        <w:t xml:space="preserve">采购单位</w:t>
      </w:r>
      <w:r/>
    </w:p>
    <w:p>
      <w:pPr>
        <w:ind w:firstLine="420"/>
        <w:jc w:val="left"/>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本人</w:t>
      </w:r>
      <w:r>
        <w:rPr>
          <w:rFonts w:hint="eastAsia" w:ascii="Calibri" w:hAnsi="Calibri" w:eastAsia="宋体" w:cs="Times New Roman"/>
          <w:color w:val="auto"/>
          <w:sz w:val="24"/>
          <w:szCs w:val="24"/>
          <w:highlight w:val="none"/>
          <w:u w:val="single"/>
        </w:rPr>
        <w:t xml:space="preserve"> </w:t>
      </w:r>
      <w:r>
        <w:rPr>
          <w:rFonts w:ascii="Calibri" w:hAnsi="Calibri" w:eastAsia="宋体" w:cs="Times New Roman"/>
          <w:color w:val="auto"/>
          <w:sz w:val="24"/>
          <w:szCs w:val="24"/>
          <w:highlight w:val="none"/>
          <w:u w:val="single"/>
        </w:rPr>
        <w:t xml:space="preserve">（</w:t>
      </w:r>
      <w:r>
        <w:rPr>
          <w:rFonts w:hint="eastAsia" w:ascii="Calibri" w:hAnsi="Calibri" w:eastAsia="宋体" w:cs="Times New Roman"/>
          <w:color w:val="auto"/>
          <w:sz w:val="24"/>
          <w:szCs w:val="24"/>
          <w:highlight w:val="none"/>
          <w:u w:val="single"/>
        </w:rPr>
        <w:t xml:space="preserve">姓名</w:t>
      </w:r>
      <w:r>
        <w:rPr>
          <w:rFonts w:ascii="Calibri" w:hAnsi="Calibri" w:eastAsia="宋体" w:cs="Times New Roman"/>
          <w:color w:val="auto"/>
          <w:sz w:val="24"/>
          <w:szCs w:val="24"/>
          <w:highlight w:val="none"/>
          <w:u w:val="single"/>
        </w:rPr>
        <w:t xml:space="preserve">）</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 xml:space="preserve">系</w:t>
      </w:r>
      <w:r>
        <w:rPr>
          <w:rFonts w:hint="eastAsia" w:ascii="Calibri" w:hAnsi="Calibri" w:eastAsia="宋体" w:cs="Times New Roman"/>
          <w:color w:val="auto"/>
          <w:sz w:val="24"/>
          <w:szCs w:val="24"/>
          <w:highlight w:val="none"/>
          <w:u w:val="single"/>
        </w:rPr>
        <w:t xml:space="preserve"> </w:t>
      </w:r>
      <w:r>
        <w:rPr>
          <w:rFonts w:ascii="Calibri" w:hAnsi="Calibri" w:eastAsia="宋体" w:cs="Times New Roman"/>
          <w:color w:val="auto"/>
          <w:sz w:val="24"/>
          <w:szCs w:val="24"/>
          <w:highlight w:val="none"/>
          <w:u w:val="single"/>
        </w:rPr>
        <w:t xml:space="preserve">（</w:t>
      </w:r>
      <w:r>
        <w:rPr>
          <w:rFonts w:hint="eastAsia" w:ascii="Calibri" w:hAnsi="Calibri" w:eastAsia="宋体" w:cs="Times New Roman"/>
          <w:color w:val="auto"/>
          <w:sz w:val="24"/>
          <w:szCs w:val="24"/>
          <w:highlight w:val="none"/>
          <w:u w:val="single"/>
        </w:rPr>
        <w:t xml:space="preserve">投标人</w:t>
      </w:r>
      <w:r>
        <w:rPr>
          <w:rFonts w:ascii="Calibri" w:hAnsi="Calibri" w:eastAsia="宋体" w:cs="Times New Roman"/>
          <w:color w:val="auto"/>
          <w:sz w:val="24"/>
          <w:szCs w:val="24"/>
          <w:highlight w:val="none"/>
          <w:u w:val="single"/>
        </w:rPr>
        <w:t xml:space="preserve">名称）</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 xml:space="preserve">的</w:t>
      </w:r>
      <w:r>
        <w:rPr>
          <w:rFonts w:ascii="Calibri" w:hAnsi="Calibri" w:eastAsia="宋体" w:cs="Times New Roman"/>
          <w:color w:val="auto"/>
          <w:sz w:val="24"/>
          <w:szCs w:val="24"/>
          <w:highlight w:val="none"/>
        </w:rPr>
        <w:t xml:space="preserve">法定代表人（</w:t>
      </w:r>
      <w:r>
        <w:rPr>
          <w:rFonts w:hint="eastAsia" w:ascii="Calibri" w:hAnsi="Calibri" w:eastAsia="宋体" w:cs="Times New Roman"/>
          <w:color w:val="auto"/>
          <w:sz w:val="24"/>
          <w:szCs w:val="24"/>
          <w:highlight w:val="none"/>
        </w:rPr>
        <w:t xml:space="preserve">单位</w:t>
      </w:r>
      <w:r>
        <w:rPr>
          <w:rFonts w:ascii="Calibri" w:hAnsi="Calibri" w:eastAsia="宋体" w:cs="Times New Roman"/>
          <w:color w:val="auto"/>
          <w:sz w:val="24"/>
          <w:szCs w:val="24"/>
          <w:highlight w:val="none"/>
        </w:rPr>
        <w:t xml:space="preserve">负责人）</w:t>
      </w:r>
      <w:r>
        <w:rPr>
          <w:rFonts w:hint="eastAsia" w:ascii="Calibri" w:hAnsi="Calibri" w:eastAsia="宋体" w:cs="Times New Roman"/>
          <w:color w:val="auto"/>
          <w:sz w:val="24"/>
          <w:szCs w:val="24"/>
          <w:highlight w:val="none"/>
        </w:rPr>
        <w:t xml:space="preserve">，</w:t>
      </w:r>
      <w:r>
        <w:rPr>
          <w:rFonts w:ascii="Calibri" w:hAnsi="Calibri" w:eastAsia="宋体" w:cs="Times New Roman"/>
          <w:color w:val="auto"/>
          <w:sz w:val="24"/>
          <w:szCs w:val="24"/>
          <w:highlight w:val="none"/>
        </w:rPr>
        <w:t xml:space="preserve">现委托</w:t>
      </w:r>
      <w:r>
        <w:rPr>
          <w:rFonts w:hint="eastAsia" w:ascii="Calibri" w:hAnsi="Calibri" w:eastAsia="宋体" w:cs="Times New Roman"/>
          <w:color w:val="auto"/>
          <w:sz w:val="24"/>
          <w:szCs w:val="24"/>
          <w:highlight w:val="none"/>
          <w:u w:val="single"/>
        </w:rPr>
        <w:t xml:space="preserve"> （姓名</w:t>
      </w:r>
      <w:r>
        <w:rPr>
          <w:rFonts w:ascii="Calibri" w:hAnsi="Calibri" w:eastAsia="宋体" w:cs="Times New Roman"/>
          <w:color w:val="auto"/>
          <w:sz w:val="24"/>
          <w:szCs w:val="24"/>
          <w:highlight w:val="none"/>
          <w:u w:val="single"/>
        </w:rPr>
        <w:t xml:space="preserve">）</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 xml:space="preserve">为</w:t>
      </w:r>
      <w:r>
        <w:rPr>
          <w:rFonts w:ascii="Calibri" w:hAnsi="Calibri" w:eastAsia="宋体" w:cs="Times New Roman"/>
          <w:color w:val="auto"/>
          <w:sz w:val="24"/>
          <w:szCs w:val="24"/>
          <w:highlight w:val="none"/>
        </w:rPr>
        <w:t xml:space="preserve">我方代理人。</w:t>
      </w:r>
      <w:r>
        <w:rPr>
          <w:rFonts w:hint="eastAsia" w:ascii="Calibri" w:hAnsi="Calibri" w:eastAsia="宋体" w:cs="Times New Roman"/>
          <w:color w:val="auto"/>
          <w:sz w:val="24"/>
          <w:szCs w:val="24"/>
          <w:highlight w:val="none"/>
        </w:rPr>
        <w:t xml:space="preserve">代理人根据</w:t>
      </w:r>
      <w:r>
        <w:rPr>
          <w:rFonts w:ascii="Calibri" w:hAnsi="Calibri" w:eastAsia="宋体" w:cs="Times New Roman"/>
          <w:color w:val="auto"/>
          <w:sz w:val="24"/>
          <w:szCs w:val="24"/>
          <w:highlight w:val="none"/>
        </w:rPr>
        <w:t xml:space="preserve">授权，以我方名义签署、澄清确认、递交、撤回、修改</w:t>
      </w:r>
      <w:r>
        <w:rPr>
          <w:rFonts w:hint="eastAsia" w:ascii="Calibri" w:hAnsi="Calibri" w:eastAsia="宋体" w:cs="Times New Roman"/>
          <w:color w:val="auto"/>
          <w:sz w:val="24"/>
          <w:szCs w:val="24"/>
          <w:highlight w:val="none"/>
          <w:u w:val="single"/>
        </w:rPr>
        <w:t xml:space="preserve"> （项目名称） </w:t>
      </w:r>
      <w:r>
        <w:rPr>
          <w:rFonts w:hint="eastAsia" w:ascii="Calibri" w:hAnsi="Calibri" w:eastAsia="宋体" w:cs="Times New Roman"/>
          <w:color w:val="auto"/>
          <w:sz w:val="24"/>
          <w:szCs w:val="24"/>
          <w:highlight w:val="none"/>
        </w:rPr>
        <w:t xml:space="preserve">项目（项目编号：</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 xml:space="preserve">）投标</w:t>
      </w:r>
      <w:r>
        <w:rPr>
          <w:rFonts w:ascii="Calibri" w:hAnsi="Calibri" w:eastAsia="宋体" w:cs="Times New Roman"/>
          <w:color w:val="auto"/>
          <w:sz w:val="24"/>
          <w:szCs w:val="24"/>
          <w:highlight w:val="none"/>
        </w:rPr>
        <w:t xml:space="preserve">文件</w:t>
      </w:r>
      <w:r>
        <w:rPr>
          <w:rFonts w:hint="eastAsia" w:ascii="Calibri" w:hAnsi="Calibri" w:eastAsia="宋体" w:cs="Times New Roman"/>
          <w:color w:val="auto"/>
          <w:sz w:val="24"/>
          <w:szCs w:val="24"/>
          <w:highlight w:val="none"/>
        </w:rPr>
        <w:t xml:space="preserve">和</w:t>
      </w:r>
      <w:r>
        <w:rPr>
          <w:rFonts w:ascii="Calibri" w:hAnsi="Calibri" w:eastAsia="宋体" w:cs="Times New Roman"/>
          <w:color w:val="auto"/>
          <w:sz w:val="24"/>
          <w:szCs w:val="24"/>
          <w:highlight w:val="none"/>
        </w:rPr>
        <w:t xml:space="preserve">处理有关事宜，其法律后果由我方承担。</w:t>
      </w:r>
      <w:r/>
    </w:p>
    <w:p>
      <w:pPr>
        <w:ind w:firstLine="420"/>
        <w:jc w:val="left"/>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委托</w:t>
      </w:r>
      <w:r>
        <w:rPr>
          <w:rFonts w:ascii="Calibri" w:hAnsi="Calibri" w:eastAsia="宋体" w:cs="Times New Roman"/>
          <w:color w:val="auto"/>
          <w:sz w:val="24"/>
          <w:szCs w:val="24"/>
          <w:highlight w:val="none"/>
        </w:rPr>
        <w:t xml:space="preserve">期限：自本</w:t>
      </w:r>
      <w:r>
        <w:rPr>
          <w:rFonts w:hint="eastAsia" w:ascii="Calibri" w:hAnsi="Calibri" w:eastAsia="宋体" w:cs="Times New Roman"/>
          <w:color w:val="auto"/>
          <w:sz w:val="24"/>
          <w:szCs w:val="24"/>
          <w:highlight w:val="none"/>
        </w:rPr>
        <w:t xml:space="preserve">授权</w:t>
      </w:r>
      <w:r>
        <w:rPr>
          <w:rFonts w:ascii="Calibri" w:hAnsi="Calibri" w:eastAsia="宋体" w:cs="Times New Roman"/>
          <w:color w:val="auto"/>
          <w:sz w:val="24"/>
          <w:szCs w:val="24"/>
          <w:highlight w:val="none"/>
        </w:rPr>
        <w:t xml:space="preserve">委托书签署之日起至</w:t>
      </w:r>
      <w:r>
        <w:rPr>
          <w:rFonts w:hint="eastAsia" w:ascii="Calibri" w:hAnsi="Calibri" w:eastAsia="宋体" w:cs="Times New Roman"/>
          <w:color w:val="auto"/>
          <w:sz w:val="24"/>
          <w:szCs w:val="24"/>
          <w:highlight w:val="none"/>
        </w:rPr>
        <w:t xml:space="preserve">响应</w:t>
      </w:r>
      <w:r>
        <w:rPr>
          <w:rFonts w:ascii="Calibri" w:hAnsi="Calibri" w:eastAsia="宋体" w:cs="Times New Roman"/>
          <w:color w:val="auto"/>
          <w:sz w:val="24"/>
          <w:szCs w:val="24"/>
          <w:highlight w:val="none"/>
        </w:rPr>
        <w:t xml:space="preserve">有效期</w:t>
      </w:r>
      <w:r>
        <w:rPr>
          <w:rFonts w:hint="eastAsia" w:ascii="Calibri" w:hAnsi="Calibri" w:eastAsia="宋体" w:cs="Times New Roman"/>
          <w:color w:val="auto"/>
          <w:sz w:val="24"/>
          <w:szCs w:val="24"/>
          <w:highlight w:val="none"/>
        </w:rPr>
        <w:t xml:space="preserve">届满</w:t>
      </w:r>
      <w:r>
        <w:rPr>
          <w:rFonts w:ascii="Calibri" w:hAnsi="Calibri" w:eastAsia="宋体" w:cs="Times New Roman"/>
          <w:color w:val="auto"/>
          <w:sz w:val="24"/>
          <w:szCs w:val="24"/>
          <w:highlight w:val="none"/>
        </w:rPr>
        <w:t xml:space="preserve">之日止。</w:t>
      </w:r>
      <w:r/>
    </w:p>
    <w:p>
      <w:pPr>
        <w:ind w:firstLine="420"/>
        <w:jc w:val="left"/>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代理人</w:t>
      </w:r>
      <w:r>
        <w:rPr>
          <w:rFonts w:ascii="Calibri" w:hAnsi="Calibri" w:eastAsia="宋体" w:cs="Times New Roman"/>
          <w:color w:val="auto"/>
          <w:sz w:val="24"/>
          <w:szCs w:val="24"/>
          <w:highlight w:val="none"/>
        </w:rPr>
        <w:t xml:space="preserve">无转委托权。</w:t>
      </w:r>
      <w:r/>
    </w:p>
    <w:p>
      <w:pPr>
        <w:ind w:firstLine="420"/>
        <w:jc w:val="left"/>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投标人</w:t>
      </w:r>
      <w:r>
        <w:rPr>
          <w:rFonts w:ascii="Calibri" w:hAnsi="Calibri" w:eastAsia="宋体" w:cs="Times New Roman"/>
          <w:color w:val="auto"/>
          <w:sz w:val="24"/>
          <w:szCs w:val="24"/>
          <w:highlight w:val="none"/>
        </w:rPr>
        <w:t xml:space="preserve">名称（加盖公章）：</w:t>
      </w:r>
      <w:r>
        <w:rPr>
          <w:rFonts w:hint="eastAsia" w:ascii="Calibri" w:hAnsi="Calibri" w:eastAsia="宋体" w:cs="Times New Roman"/>
          <w:color w:val="auto"/>
          <w:sz w:val="24"/>
          <w:szCs w:val="24"/>
          <w:highlight w:val="none"/>
          <w:u w:val="single"/>
        </w:rPr>
        <w:t xml:space="preserve">             </w:t>
      </w:r>
      <w:r/>
    </w:p>
    <w:p>
      <w:pPr>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t xml:space="preserve">法定代表人（单位负责人）（签字</w:t>
      </w:r>
      <w:r>
        <w:rPr>
          <w:rFonts w:hint="eastAsia" w:ascii="Calibri" w:hAnsi="Calibri" w:eastAsia="宋体" w:cs="Times New Roman"/>
          <w:color w:val="auto"/>
          <w:sz w:val="24"/>
          <w:szCs w:val="24"/>
          <w:highlight w:val="none"/>
        </w:rPr>
        <w:t xml:space="preserve">、签章</w:t>
      </w:r>
      <w:r>
        <w:rPr>
          <w:rFonts w:ascii="Calibri" w:hAnsi="Calibri" w:eastAsia="宋体" w:cs="Times New Roman"/>
          <w:color w:val="auto"/>
          <w:sz w:val="24"/>
          <w:szCs w:val="24"/>
          <w:highlight w:val="none"/>
        </w:rPr>
        <w:t xml:space="preserve">或</w:t>
      </w:r>
      <w:r>
        <w:rPr>
          <w:rFonts w:hint="eastAsia" w:ascii="Calibri" w:hAnsi="Calibri" w:eastAsia="宋体" w:cs="Times New Roman"/>
          <w:color w:val="auto"/>
          <w:sz w:val="24"/>
          <w:szCs w:val="24"/>
          <w:highlight w:val="none"/>
        </w:rPr>
        <w:t xml:space="preserve">印鉴）</w:t>
      </w:r>
      <w:r>
        <w:rPr>
          <w:rFonts w:ascii="Calibri" w:hAnsi="Calibri" w:eastAsia="宋体" w:cs="Times New Roman"/>
          <w:color w:val="auto"/>
          <w:sz w:val="24"/>
          <w:szCs w:val="24"/>
          <w:highlight w:val="none"/>
        </w:rPr>
        <w:t xml:space="preserve">：</w:t>
      </w:r>
      <w:r>
        <w:rPr>
          <w:rFonts w:hint="eastAsia" w:ascii="Calibri" w:hAnsi="Calibri" w:eastAsia="宋体" w:cs="Times New Roman"/>
          <w:color w:val="auto"/>
          <w:sz w:val="24"/>
          <w:szCs w:val="24"/>
          <w:highlight w:val="none"/>
          <w:u w:val="single"/>
        </w:rPr>
        <w:t xml:space="preserve">             </w:t>
      </w:r>
      <w:r/>
    </w:p>
    <w:p>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委托代理</w:t>
      </w:r>
      <w:r>
        <w:rPr>
          <w:rFonts w:ascii="Calibri" w:hAnsi="Calibri" w:eastAsia="宋体" w:cs="Times New Roman"/>
          <w:color w:val="auto"/>
          <w:sz w:val="24"/>
          <w:szCs w:val="24"/>
          <w:highlight w:val="none"/>
        </w:rPr>
        <w:t xml:space="preserve">人（签字</w:t>
      </w:r>
      <w:r>
        <w:rPr>
          <w:rFonts w:hint="eastAsia" w:ascii="Calibri" w:hAnsi="Calibri" w:eastAsia="宋体" w:cs="Times New Roman"/>
          <w:color w:val="auto"/>
          <w:sz w:val="24"/>
          <w:szCs w:val="24"/>
          <w:highlight w:val="none"/>
        </w:rPr>
        <w:t xml:space="preserve">/签章</w:t>
      </w:r>
      <w:r>
        <w:rPr>
          <w:rFonts w:ascii="Calibri" w:hAnsi="Calibri" w:eastAsia="宋体" w:cs="Times New Roman"/>
          <w:color w:val="auto"/>
          <w:sz w:val="24"/>
          <w:szCs w:val="24"/>
          <w:highlight w:val="none"/>
        </w:rPr>
        <w:t xml:space="preserve">）：</w:t>
      </w:r>
      <w:r>
        <w:rPr>
          <w:rFonts w:hint="eastAsia" w:ascii="Calibri" w:hAnsi="Calibri" w:eastAsia="宋体" w:cs="Times New Roman"/>
          <w:color w:val="auto"/>
          <w:sz w:val="24"/>
          <w:szCs w:val="24"/>
          <w:highlight w:val="none"/>
          <w:u w:val="single"/>
        </w:rPr>
        <w:t xml:space="preserve">             </w:t>
      </w:r>
      <w:r/>
    </w:p>
    <w:p>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日期：    年     月     日</w:t>
      </w:r>
      <w:r/>
    </w:p>
    <w:p>
      <w:pPr>
        <w:ind w:firstLine="480"/>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t xml:space="preserve">法定代表人（单位负责人）有效期内的身份证</w:t>
      </w:r>
      <w:r>
        <w:rPr>
          <w:rFonts w:ascii="宋体" w:hAnsi="宋体" w:eastAsia="宋体" w:cs="Times New Roman"/>
          <w:b/>
          <w:color w:val="auto"/>
          <w:sz w:val="24"/>
          <w:szCs w:val="20"/>
          <w:highlight w:val="none"/>
        </w:rPr>
        <w:t xml:space="preserve">正反面</w:t>
      </w:r>
      <w:r>
        <w:rPr>
          <w:rFonts w:ascii="宋体" w:hAnsi="宋体" w:eastAsia="宋体" w:cs="Times New Roman"/>
          <w:color w:val="auto"/>
          <w:sz w:val="24"/>
          <w:szCs w:val="20"/>
          <w:highlight w:val="none"/>
        </w:rPr>
        <w:t xml:space="preserve">电子件：</w:t>
      </w:r>
      <w:r/>
    </w:p>
    <w:tbl>
      <w:tblPr>
        <w:tblStyle w:val="844"/>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c>
          <w:tcPr>
            <w:tcW w:w="4536" w:type="dxa"/>
            <w:vAlign w:val="top"/>
            <w:textDirection w:val="lrTb"/>
            <w:noWrap w:val="false"/>
          </w:tcPr>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r>
    </w:tbl>
    <w:p>
      <w:pPr>
        <w:jc w:val="left"/>
        <w:spacing w:line="360" w:lineRule="auto"/>
        <w:tabs>
          <w:tab w:val="left" w:pos="5580" w:leader="none"/>
        </w:tabs>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委托代理人</w:t>
      </w:r>
      <w:r>
        <w:rPr>
          <w:rFonts w:ascii="宋体" w:hAnsi="宋体" w:eastAsia="宋体" w:cs="Times New Roman"/>
          <w:color w:val="auto"/>
          <w:sz w:val="24"/>
          <w:szCs w:val="20"/>
          <w:highlight w:val="none"/>
        </w:rPr>
        <w:t xml:space="preserve">有效期内的身份证</w:t>
      </w:r>
      <w:r>
        <w:rPr>
          <w:rFonts w:ascii="宋体" w:hAnsi="宋体" w:eastAsia="宋体" w:cs="Times New Roman"/>
          <w:b/>
          <w:color w:val="auto"/>
          <w:sz w:val="24"/>
          <w:szCs w:val="20"/>
          <w:highlight w:val="none"/>
        </w:rPr>
        <w:t xml:space="preserve">正反面</w:t>
      </w:r>
      <w:r>
        <w:rPr>
          <w:rFonts w:ascii="宋体" w:hAnsi="宋体" w:eastAsia="宋体" w:cs="Times New Roman"/>
          <w:color w:val="auto"/>
          <w:sz w:val="24"/>
          <w:szCs w:val="20"/>
          <w:highlight w:val="none"/>
        </w:rPr>
        <w:t xml:space="preserve">电子件：</w:t>
      </w:r>
      <w:r/>
    </w:p>
    <w:tbl>
      <w:tblPr>
        <w:tblStyle w:val="844"/>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c>
          <w:tcPr>
            <w:tcW w:w="4536" w:type="dxa"/>
            <w:vAlign w:val="top"/>
            <w:textDirection w:val="lrTb"/>
            <w:noWrap w:val="false"/>
          </w:tcPr>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r>
    </w:tbl>
    <w:p>
      <w:pPr>
        <w:jc w:val="left"/>
        <w:spacing w:line="360" w:lineRule="auto"/>
        <w:tabs>
          <w:tab w:val="left" w:pos="5580" w:leader="none"/>
        </w:tabs>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填报说明</w:t>
      </w:r>
      <w:r>
        <w:rPr>
          <w:rFonts w:ascii="Calibri" w:hAnsi="Calibri" w:eastAsia="宋体" w:cs="Times New Roman"/>
          <w:color w:val="auto"/>
          <w:sz w:val="24"/>
          <w:szCs w:val="24"/>
          <w:highlight w:val="none"/>
        </w:rPr>
        <w:t xml:space="preserve">：</w:t>
      </w:r>
      <w:r/>
    </w:p>
    <w:p>
      <w:pPr>
        <w:ind w:firstLine="480"/>
        <w:jc w:val="left"/>
        <w:spacing w:line="360" w:lineRule="auto"/>
        <w:tabs>
          <w:tab w:val="left" w:pos="5580" w:leader="none"/>
        </w:tabs>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t xml:space="preserve">1、若供应商为事业单位或其他组织或分支机构（仅当</w:t>
      </w:r>
      <w:r>
        <w:rPr>
          <w:rFonts w:hint="eastAsia" w:ascii="Calibri" w:hAnsi="Calibri" w:eastAsia="宋体" w:cs="Times New Roman"/>
          <w:color w:val="auto"/>
          <w:sz w:val="24"/>
          <w:szCs w:val="24"/>
          <w:highlight w:val="none"/>
        </w:rPr>
        <w:t xml:space="preserve">招标</w:t>
      </w:r>
      <w:r>
        <w:rPr>
          <w:rFonts w:ascii="Calibri" w:hAnsi="Calibri" w:eastAsia="宋体" w:cs="Times New Roman"/>
          <w:color w:val="auto"/>
          <w:sz w:val="24"/>
          <w:szCs w:val="24"/>
          <w:highlight w:val="none"/>
        </w:rPr>
        <w:t xml:space="preserve">文件注明允许分支机构</w:t>
      </w:r>
      <w:r>
        <w:rPr>
          <w:rFonts w:hint="eastAsia" w:ascii="Calibri" w:hAnsi="Calibri" w:eastAsia="宋体" w:cs="Times New Roman"/>
          <w:color w:val="auto"/>
          <w:sz w:val="24"/>
          <w:szCs w:val="24"/>
          <w:highlight w:val="none"/>
        </w:rPr>
        <w:t xml:space="preserve">投标</w:t>
      </w:r>
      <w:r>
        <w:rPr>
          <w:rFonts w:ascii="Calibri" w:hAnsi="Calibri" w:eastAsia="宋体" w:cs="Times New Roman"/>
          <w:color w:val="auto"/>
          <w:sz w:val="24"/>
          <w:szCs w:val="24"/>
          <w:highlight w:val="none"/>
        </w:rPr>
        <w:t xml:space="preserve">的），则法定代表人（单位负责人）</w:t>
      </w:r>
      <w:r>
        <w:rPr>
          <w:rFonts w:hint="eastAsia" w:ascii="Calibri" w:hAnsi="Calibri" w:eastAsia="宋体" w:cs="Times New Roman"/>
          <w:color w:val="auto"/>
          <w:sz w:val="24"/>
          <w:szCs w:val="24"/>
          <w:highlight w:val="none"/>
        </w:rPr>
        <w:t xml:space="preserve">处</w:t>
      </w:r>
      <w:r>
        <w:rPr>
          <w:rFonts w:ascii="Calibri" w:hAnsi="Calibri" w:eastAsia="宋体" w:cs="Times New Roman"/>
          <w:color w:val="auto"/>
          <w:sz w:val="24"/>
          <w:szCs w:val="24"/>
          <w:highlight w:val="none"/>
        </w:rPr>
        <w:t xml:space="preserve">的签署人可为单位负责人</w:t>
      </w:r>
      <w:r>
        <w:rPr>
          <w:rFonts w:hint="eastAsia" w:ascii="Calibri" w:hAnsi="Calibri" w:eastAsia="宋体" w:cs="Times New Roman"/>
          <w:color w:val="auto"/>
          <w:sz w:val="24"/>
          <w:szCs w:val="24"/>
          <w:highlight w:val="none"/>
        </w:rPr>
        <w:t xml:space="preserve">。</w:t>
      </w:r>
      <w:r/>
    </w:p>
    <w:p>
      <w:pPr>
        <w:ind w:firstLine="480"/>
        <w:jc w:val="left"/>
        <w:spacing w:line="360" w:lineRule="auto"/>
        <w:tabs>
          <w:tab w:val="left" w:pos="5580" w:leader="none"/>
        </w:tabs>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2、</w:t>
      </w:r>
      <w:r>
        <w:rPr>
          <w:rFonts w:ascii="Calibri" w:hAnsi="Calibri" w:eastAsia="宋体" w:cs="Times New Roman"/>
          <w:color w:val="auto"/>
          <w:sz w:val="24"/>
          <w:szCs w:val="24"/>
          <w:highlight w:val="none"/>
        </w:rPr>
        <w:t xml:space="preserve">若</w:t>
      </w:r>
      <w:r>
        <w:rPr>
          <w:rFonts w:hint="eastAsia" w:ascii="Calibri" w:hAnsi="Calibri" w:eastAsia="宋体" w:cs="Times New Roman"/>
          <w:color w:val="auto"/>
          <w:sz w:val="24"/>
          <w:szCs w:val="24"/>
          <w:highlight w:val="none"/>
        </w:rPr>
        <w:t xml:space="preserve">投标</w:t>
      </w:r>
      <w:r>
        <w:rPr>
          <w:rFonts w:ascii="Calibri" w:hAnsi="Calibri" w:eastAsia="宋体" w:cs="Times New Roman"/>
          <w:color w:val="auto"/>
          <w:sz w:val="24"/>
          <w:szCs w:val="24"/>
          <w:highlight w:val="none"/>
        </w:rPr>
        <w:t xml:space="preserve">文件中全部签字之处均为法定代表人（单位负责人）本人签署，则可不提供本《</w:t>
      </w:r>
      <w:r>
        <w:rPr>
          <w:rFonts w:hint="eastAsia" w:ascii="Calibri" w:hAnsi="Calibri" w:eastAsia="宋体" w:cs="Times New Roman"/>
          <w:color w:val="auto"/>
          <w:sz w:val="24"/>
          <w:szCs w:val="24"/>
          <w:highlight w:val="none"/>
        </w:rPr>
        <w:t xml:space="preserve">授权委托书</w:t>
      </w:r>
      <w:r>
        <w:rPr>
          <w:rFonts w:ascii="Calibri" w:hAnsi="Calibri" w:eastAsia="宋体" w:cs="Times New Roman"/>
          <w:color w:val="auto"/>
          <w:sz w:val="24"/>
          <w:szCs w:val="24"/>
          <w:highlight w:val="none"/>
        </w:rPr>
        <w:t xml:space="preserve">》，但须提供</w:t>
      </w:r>
      <w:r>
        <w:rPr>
          <w:rFonts w:hint="eastAsia" w:ascii="Calibri" w:hAnsi="Calibri" w:eastAsia="宋体" w:cs="Times New Roman"/>
          <w:color w:val="auto"/>
          <w:sz w:val="24"/>
          <w:szCs w:val="24"/>
          <w:highlight w:val="none"/>
        </w:rPr>
        <w:t xml:space="preserve">《</w:t>
      </w:r>
      <w:r>
        <w:rPr>
          <w:rFonts w:ascii="Calibri" w:hAnsi="Calibri" w:eastAsia="宋体" w:cs="Times New Roman"/>
          <w:color w:val="auto"/>
          <w:sz w:val="24"/>
          <w:szCs w:val="24"/>
          <w:highlight w:val="none"/>
        </w:rPr>
        <w:t xml:space="preserve">法定代表人（单位负责人）身份证</w:t>
      </w:r>
      <w:r>
        <w:rPr>
          <w:rFonts w:hint="eastAsia" w:ascii="Calibri" w:hAnsi="Calibri" w:eastAsia="宋体" w:cs="Times New Roman"/>
          <w:color w:val="auto"/>
          <w:sz w:val="24"/>
          <w:szCs w:val="24"/>
          <w:highlight w:val="none"/>
        </w:rPr>
        <w:t xml:space="preserve">明》</w:t>
      </w:r>
      <w:r>
        <w:rPr>
          <w:rFonts w:ascii="Calibri" w:hAnsi="Calibri" w:eastAsia="宋体" w:cs="Times New Roman"/>
          <w:color w:val="auto"/>
          <w:sz w:val="24"/>
          <w:szCs w:val="24"/>
          <w:highlight w:val="none"/>
        </w:rPr>
        <w:t xml:space="preserve">。</w:t>
      </w:r>
      <w:r/>
    </w:p>
    <w:p>
      <w:pPr>
        <w:ind w:firstLine="480"/>
        <w:jc w:val="left"/>
        <w:spacing w:line="360" w:lineRule="auto"/>
        <w:tabs>
          <w:tab w:val="left" w:pos="5580" w:leader="none"/>
        </w:tabs>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t xml:space="preserve">3、</w:t>
      </w:r>
      <w:r>
        <w:rPr>
          <w:rFonts w:hint="eastAsia" w:ascii="Calibri" w:hAnsi="Calibri" w:eastAsia="宋体" w:cs="Times New Roman"/>
          <w:color w:val="auto"/>
          <w:sz w:val="24"/>
          <w:szCs w:val="24"/>
          <w:highlight w:val="none"/>
        </w:rPr>
        <w:t xml:space="preserve">供应商为自然人的情形，可不提供本</w:t>
      </w:r>
      <w:r>
        <w:rPr>
          <w:rFonts w:ascii="Calibri" w:hAnsi="Calibri" w:eastAsia="宋体" w:cs="Times New Roman"/>
          <w:color w:val="auto"/>
          <w:sz w:val="24"/>
          <w:szCs w:val="24"/>
          <w:highlight w:val="none"/>
        </w:rPr>
        <w:t xml:space="preserve">《</w:t>
      </w:r>
      <w:r>
        <w:rPr>
          <w:rFonts w:hint="eastAsia" w:ascii="Calibri" w:hAnsi="Calibri" w:eastAsia="宋体" w:cs="Times New Roman"/>
          <w:color w:val="auto"/>
          <w:sz w:val="24"/>
          <w:szCs w:val="24"/>
          <w:highlight w:val="none"/>
        </w:rPr>
        <w:t xml:space="preserve">授权委托书</w:t>
      </w:r>
      <w:r>
        <w:rPr>
          <w:rFonts w:ascii="Calibri" w:hAnsi="Calibri" w:eastAsia="宋体" w:cs="Times New Roman"/>
          <w:color w:val="auto"/>
          <w:sz w:val="24"/>
          <w:szCs w:val="24"/>
          <w:highlight w:val="none"/>
        </w:rPr>
        <w:t xml:space="preserve">》</w:t>
      </w:r>
      <w:r>
        <w:rPr>
          <w:rFonts w:hint="eastAsia" w:ascii="Calibri" w:hAnsi="Calibri" w:eastAsia="宋体" w:cs="Times New Roman"/>
          <w:color w:val="auto"/>
          <w:sz w:val="24"/>
          <w:szCs w:val="24"/>
          <w:highlight w:val="none"/>
        </w:rPr>
        <w:t xml:space="preserve">。</w:t>
      </w:r>
      <w:r/>
    </w:p>
    <w:p>
      <w:pPr>
        <w:rPr>
          <w:color w:val="auto"/>
          <w:highlight w:val="none"/>
        </w:rPr>
      </w:pPr>
      <w:r>
        <w:rPr>
          <w:color w:val="auto"/>
          <w:highlight w:val="none"/>
        </w:rPr>
      </w:r>
      <w:r/>
    </w:p>
    <w:p>
      <w:pPr>
        <w:jc w:val="center"/>
        <w:spacing w:line="360" w:lineRule="exact"/>
        <w:rPr>
          <w:rFonts w:ascii="宋体" w:hAnsi="宋体" w:eastAsia="宋体" w:cs="Times New Roman"/>
          <w:b/>
          <w:color w:val="auto"/>
          <w:sz w:val="36"/>
          <w:szCs w:val="36"/>
          <w:highlight w:val="none"/>
        </w:rPr>
      </w:pPr>
      <w:r>
        <w:rPr>
          <w:rFonts w:ascii="宋体" w:hAnsi="宋体" w:eastAsia="宋体" w:cs="Times New Roman"/>
          <w:b/>
          <w:color w:val="auto"/>
          <w:sz w:val="36"/>
          <w:szCs w:val="36"/>
          <w:highlight w:val="none"/>
        </w:rPr>
        <w:t xml:space="preserve">法定代表人（单位负责人）身份证明</w:t>
      </w:r>
      <w:r/>
    </w:p>
    <w:p>
      <w:pPr>
        <w:spacing w:line="200" w:lineRule="exact"/>
        <w:rPr>
          <w:rFonts w:ascii="宋体" w:hAnsi="宋体" w:eastAsia="宋体" w:cs="Times New Roman"/>
          <w:color w:val="auto"/>
          <w:sz w:val="20"/>
          <w:szCs w:val="20"/>
          <w:highlight w:val="none"/>
        </w:rPr>
      </w:pPr>
      <w:r>
        <w:rPr>
          <w:rFonts w:ascii="宋体" w:hAnsi="宋体" w:eastAsia="宋体" w:cs="Times New Roman"/>
          <w:color w:val="auto"/>
          <w:sz w:val="20"/>
          <w:szCs w:val="20"/>
          <w:highlight w:val="none"/>
        </w:rPr>
      </w:r>
      <w:r/>
    </w:p>
    <w:p>
      <w:pPr>
        <w:spacing w:line="360" w:lineRule="auto"/>
        <w:tabs>
          <w:tab w:val="left" w:pos="5580" w:leader="none"/>
        </w:tabs>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致：</w:t>
      </w:r>
      <w:r>
        <w:rPr>
          <w:rFonts w:hint="eastAsia" w:ascii="Times New Roman" w:hAnsi="Times New Roman" w:eastAsia="宋体" w:cs="Times New Roman"/>
          <w:color w:val="auto"/>
          <w:sz w:val="24"/>
          <w:szCs w:val="24"/>
          <w:highlight w:val="none"/>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姓名</w:t>
      </w: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u w:val="single"/>
        </w:rPr>
        <w:t xml:space="preserve">        </w:t>
      </w:r>
      <w:r>
        <w:rPr>
          <w:rFonts w:ascii="宋体" w:hAnsi="宋体" w:eastAsia="宋体" w:cs="Times New Roman"/>
          <w:color w:val="auto"/>
          <w:sz w:val="24"/>
          <w:szCs w:val="24"/>
          <w:highlight w:val="none"/>
        </w:rPr>
        <w:t xml:space="preserve">性别：</w:t>
      </w:r>
      <w:r>
        <w:rPr>
          <w:rFonts w:hint="eastAsia" w:ascii="宋体" w:hAnsi="宋体" w:eastAsia="宋体" w:cs="Times New Roman"/>
          <w:color w:val="auto"/>
          <w:sz w:val="24"/>
          <w:szCs w:val="24"/>
          <w:highlight w:val="none"/>
          <w:u w:val="single"/>
        </w:rPr>
        <w:t xml:space="preserve">        </w:t>
      </w:r>
      <w:r>
        <w:rPr>
          <w:rFonts w:ascii="宋体" w:hAnsi="宋体" w:eastAsia="宋体" w:cs="Times New Roman"/>
          <w:color w:val="auto"/>
          <w:sz w:val="24"/>
          <w:szCs w:val="24"/>
          <w:highlight w:val="none"/>
        </w:rPr>
        <w:t xml:space="preserve">年龄：</w:t>
      </w:r>
      <w:r>
        <w:rPr>
          <w:rFonts w:hint="eastAsia" w:ascii="宋体" w:hAnsi="宋体" w:eastAsia="宋体" w:cs="Times New Roman"/>
          <w:color w:val="auto"/>
          <w:sz w:val="24"/>
          <w:szCs w:val="24"/>
          <w:highlight w:val="none"/>
          <w:u w:val="single"/>
        </w:rPr>
        <w:t xml:space="preserve">        </w:t>
      </w:r>
      <w:r>
        <w:rPr>
          <w:rFonts w:ascii="宋体" w:hAnsi="宋体" w:eastAsia="宋体" w:cs="Times New Roman"/>
          <w:color w:val="auto"/>
          <w:sz w:val="24"/>
          <w:szCs w:val="24"/>
          <w:highlight w:val="none"/>
        </w:rPr>
        <w:t xml:space="preserve">职务：</w:t>
      </w:r>
      <w:r>
        <w:rPr>
          <w:rFonts w:hint="eastAsia" w:ascii="宋体" w:hAnsi="宋体" w:eastAsia="宋体" w:cs="Times New Roman"/>
          <w:color w:val="auto"/>
          <w:sz w:val="24"/>
          <w:szCs w:val="24"/>
          <w:highlight w:val="none"/>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系</w:t>
      </w:r>
      <w:r>
        <w:rPr>
          <w:rFonts w:hint="eastAsia" w:ascii="宋体" w:hAnsi="宋体" w:eastAsia="宋体" w:cs="Times New Roman"/>
          <w:color w:val="auto"/>
          <w:sz w:val="24"/>
          <w:szCs w:val="24"/>
          <w:highlight w:val="none"/>
          <w:u w:val="single"/>
        </w:rPr>
        <w:t xml:space="preserve"> </w:t>
      </w:r>
      <w:r>
        <w:rPr>
          <w:rFonts w:ascii="Calibri" w:hAnsi="Calibri" w:eastAsia="宋体" w:cs="Times New Roman"/>
          <w:color w:val="auto"/>
          <w:sz w:val="24"/>
          <w:szCs w:val="24"/>
          <w:highlight w:val="none"/>
          <w:u w:val="single"/>
        </w:rPr>
        <w:t xml:space="preserve">（</w:t>
      </w:r>
      <w:r>
        <w:rPr>
          <w:rFonts w:hint="eastAsia" w:ascii="Calibri" w:hAnsi="Calibri" w:eastAsia="宋体" w:cs="Times New Roman"/>
          <w:color w:val="auto"/>
          <w:sz w:val="24"/>
          <w:szCs w:val="24"/>
          <w:highlight w:val="none"/>
          <w:u w:val="single"/>
        </w:rPr>
        <w:t xml:space="preserve">投标人</w:t>
      </w:r>
      <w:r>
        <w:rPr>
          <w:rFonts w:ascii="Calibri" w:hAnsi="Calibri" w:eastAsia="宋体" w:cs="Times New Roman"/>
          <w:color w:val="auto"/>
          <w:sz w:val="24"/>
          <w:szCs w:val="24"/>
          <w:highlight w:val="none"/>
          <w:u w:val="single"/>
        </w:rPr>
        <w:t xml:space="preserve">名称）</w:t>
      </w:r>
      <w:r>
        <w:rPr>
          <w:rFonts w:hint="eastAsia" w:ascii="Calibri" w:hAnsi="Calibri" w:eastAsia="宋体" w:cs="Times New Roman"/>
          <w:color w:val="auto"/>
          <w:sz w:val="24"/>
          <w:szCs w:val="24"/>
          <w:highlight w:val="none"/>
          <w:u w:val="single"/>
        </w:rPr>
        <w:t xml:space="preserve"> </w:t>
      </w:r>
      <w:r>
        <w:rPr>
          <w:rFonts w:ascii="宋体" w:hAnsi="宋体" w:eastAsia="宋体" w:cs="Times New Roman"/>
          <w:color w:val="auto"/>
          <w:sz w:val="24"/>
          <w:szCs w:val="24"/>
          <w:highlight w:val="none"/>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right="-46"/>
        <w:spacing w:before="120" w:line="583" w:lineRule="auto"/>
        <w:tabs>
          <w:tab w:val="left" w:pos="567" w:leader="none"/>
        </w:tabs>
        <w:rPr>
          <w:rFonts w:ascii="宋体" w:hAnsi="宋体" w:eastAsia="宋体" w:cs="Times New Roman"/>
          <w:color w:val="auto"/>
          <w:spacing w:val="-3"/>
          <w:sz w:val="24"/>
          <w:szCs w:val="24"/>
          <w:highlight w:val="none"/>
        </w:rPr>
      </w:pPr>
      <w:r>
        <w:rPr>
          <w:rFonts w:ascii="宋体" w:hAnsi="宋体" w:eastAsia="宋体" w:cs="Times New Roman"/>
          <w:color w:val="auto"/>
          <w:spacing w:val="-3"/>
          <w:sz w:val="24"/>
          <w:szCs w:val="24"/>
          <w:highlight w:val="none"/>
        </w:rPr>
        <w:t xml:space="preserve">法</w:t>
      </w:r>
      <w:r>
        <w:rPr>
          <w:rFonts w:ascii="宋体" w:hAnsi="宋体" w:eastAsia="宋体" w:cs="Times New Roman"/>
          <w:color w:val="auto"/>
          <w:sz w:val="24"/>
          <w:szCs w:val="24"/>
          <w:highlight w:val="none"/>
        </w:rPr>
        <w:t xml:space="preserve">定</w:t>
      </w:r>
      <w:r>
        <w:rPr>
          <w:rFonts w:ascii="宋体" w:hAnsi="宋体" w:eastAsia="宋体" w:cs="Times New Roman"/>
          <w:color w:val="auto"/>
          <w:spacing w:val="-3"/>
          <w:sz w:val="24"/>
          <w:szCs w:val="24"/>
          <w:highlight w:val="none"/>
        </w:rPr>
        <w:t xml:space="preserve">代</w:t>
      </w:r>
      <w:r>
        <w:rPr>
          <w:rFonts w:ascii="宋体" w:hAnsi="宋体" w:eastAsia="宋体" w:cs="Times New Roman"/>
          <w:color w:val="auto"/>
          <w:sz w:val="24"/>
          <w:szCs w:val="24"/>
          <w:highlight w:val="none"/>
        </w:rPr>
        <w:t xml:space="preserve">表</w:t>
      </w:r>
      <w:r>
        <w:rPr>
          <w:rFonts w:ascii="宋体" w:hAnsi="宋体" w:eastAsia="宋体" w:cs="Times New Roman"/>
          <w:color w:val="auto"/>
          <w:spacing w:val="-3"/>
          <w:sz w:val="24"/>
          <w:szCs w:val="24"/>
          <w:highlight w:val="none"/>
        </w:rPr>
        <w:t xml:space="preserve">人</w:t>
      </w:r>
      <w:r>
        <w:rPr>
          <w:rFonts w:ascii="宋体" w:hAnsi="宋体" w:eastAsia="宋体" w:cs="Times New Roman"/>
          <w:color w:val="auto"/>
          <w:sz w:val="24"/>
          <w:szCs w:val="24"/>
          <w:highlight w:val="none"/>
        </w:rPr>
        <w:t xml:space="preserve">（</w:t>
      </w:r>
      <w:r>
        <w:rPr>
          <w:rFonts w:ascii="宋体" w:hAnsi="宋体" w:eastAsia="宋体" w:cs="Times New Roman"/>
          <w:color w:val="auto"/>
          <w:spacing w:val="-3"/>
          <w:sz w:val="24"/>
          <w:szCs w:val="24"/>
          <w:highlight w:val="none"/>
        </w:rPr>
        <w:t xml:space="preserve">单</w:t>
      </w:r>
      <w:r>
        <w:rPr>
          <w:rFonts w:ascii="宋体" w:hAnsi="宋体" w:eastAsia="宋体" w:cs="Times New Roman"/>
          <w:color w:val="auto"/>
          <w:sz w:val="24"/>
          <w:szCs w:val="24"/>
          <w:highlight w:val="none"/>
        </w:rPr>
        <w:t xml:space="preserve">位</w:t>
      </w:r>
      <w:r>
        <w:rPr>
          <w:rFonts w:ascii="宋体" w:hAnsi="宋体" w:eastAsia="宋体" w:cs="Times New Roman"/>
          <w:color w:val="auto"/>
          <w:spacing w:val="-3"/>
          <w:sz w:val="24"/>
          <w:szCs w:val="24"/>
          <w:highlight w:val="none"/>
        </w:rPr>
        <w:t xml:space="preserve">负</w:t>
      </w:r>
      <w:r>
        <w:rPr>
          <w:rFonts w:ascii="宋体" w:hAnsi="宋体" w:eastAsia="宋体" w:cs="Times New Roman"/>
          <w:color w:val="auto"/>
          <w:sz w:val="24"/>
          <w:szCs w:val="24"/>
          <w:highlight w:val="none"/>
        </w:rPr>
        <w:t xml:space="preserve">责人</w:t>
      </w:r>
      <w:r>
        <w:rPr>
          <w:rFonts w:ascii="宋体" w:hAnsi="宋体" w:eastAsia="宋体" w:cs="Times New Roman"/>
          <w:color w:val="auto"/>
          <w:spacing w:val="-3"/>
          <w:sz w:val="24"/>
          <w:szCs w:val="24"/>
          <w:highlight w:val="none"/>
        </w:rPr>
        <w:t xml:space="preserve">）有效期内的身</w:t>
      </w:r>
      <w:r>
        <w:rPr>
          <w:rFonts w:hint="eastAsia" w:ascii="宋体" w:hAnsi="宋体" w:eastAsia="宋体" w:cs="Times New Roman"/>
          <w:color w:val="auto"/>
          <w:spacing w:val="-3"/>
          <w:sz w:val="24"/>
          <w:szCs w:val="24"/>
          <w:highlight w:val="none"/>
        </w:rPr>
        <w:t xml:space="preserve">份</w:t>
      </w:r>
      <w:r>
        <w:rPr>
          <w:rFonts w:ascii="宋体" w:hAnsi="宋体" w:eastAsia="宋体" w:cs="Times New Roman"/>
          <w:color w:val="auto"/>
          <w:spacing w:val="-3"/>
          <w:sz w:val="24"/>
          <w:szCs w:val="24"/>
          <w:highlight w:val="none"/>
        </w:rPr>
        <w:t xml:space="preserve">证正反面</w:t>
      </w:r>
      <w:r>
        <w:rPr>
          <w:rFonts w:hint="eastAsia" w:ascii="宋体" w:hAnsi="宋体" w:eastAsia="宋体" w:cs="Times New Roman"/>
          <w:color w:val="auto"/>
          <w:spacing w:val="-3"/>
          <w:sz w:val="24"/>
          <w:szCs w:val="24"/>
          <w:highlight w:val="none"/>
        </w:rPr>
        <w:t xml:space="preserve">电子</w:t>
      </w:r>
      <w:r>
        <w:rPr>
          <w:rFonts w:ascii="宋体" w:hAnsi="宋体" w:eastAsia="宋体" w:cs="Times New Roman"/>
          <w:color w:val="auto"/>
          <w:spacing w:val="-3"/>
          <w:sz w:val="24"/>
          <w:szCs w:val="24"/>
          <w:highlight w:val="none"/>
        </w:rPr>
        <w:t xml:space="preserve">件</w:t>
      </w:r>
      <w:r>
        <w:rPr>
          <w:rFonts w:hint="eastAsia" w:ascii="宋体" w:hAnsi="宋体" w:eastAsia="宋体" w:cs="Times New Roman"/>
          <w:color w:val="auto"/>
          <w:spacing w:val="-3"/>
          <w:sz w:val="24"/>
          <w:szCs w:val="24"/>
          <w:highlight w:val="none"/>
        </w:rPr>
        <w:t xml:space="preserve">：</w:t>
      </w:r>
      <w:r/>
    </w:p>
    <w:tbl>
      <w:tblPr>
        <w:tblStyle w:val="844"/>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c>
          <w:tcPr>
            <w:tcW w:w="4536" w:type="dxa"/>
            <w:vAlign w:val="top"/>
            <w:textDirection w:val="lrTb"/>
            <w:noWrap w:val="false"/>
          </w:tcPr>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r>
    </w:tbl>
    <w:p>
      <w:pPr>
        <w:ind w:right="4305"/>
        <w:spacing w:before="120" w:line="583" w:lineRule="auto"/>
        <w:tabs>
          <w:tab w:val="left" w:pos="567" w:leader="none"/>
        </w:tabs>
        <w:rPr>
          <w:rFonts w:ascii="宋体" w:hAnsi="宋体" w:eastAsia="宋体" w:cs="Times New Roman"/>
          <w:color w:val="auto"/>
          <w:spacing w:val="-3"/>
          <w:sz w:val="24"/>
          <w:szCs w:val="24"/>
          <w:highlight w:val="none"/>
        </w:rPr>
      </w:pPr>
      <w:r>
        <w:rPr>
          <w:rFonts w:ascii="宋体" w:hAnsi="宋体" w:eastAsia="宋体" w:cs="Times New Roman"/>
          <w:color w:val="auto"/>
          <w:spacing w:val="-3"/>
          <w:sz w:val="24"/>
          <w:szCs w:val="24"/>
          <w:highlight w:val="none"/>
        </w:rPr>
      </w:r>
      <w:r/>
    </w:p>
    <w:p>
      <w:pPr>
        <w:spacing w:line="360" w:lineRule="auto"/>
        <w:rPr>
          <w:rFonts w:ascii="Calibri" w:hAnsi="Calibri"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投标人</w:t>
      </w:r>
      <w:r>
        <w:rPr>
          <w:rFonts w:ascii="宋体" w:hAnsi="宋体" w:eastAsia="宋体" w:cs="Times New Roman"/>
          <w:color w:val="auto"/>
          <w:sz w:val="24"/>
          <w:szCs w:val="24"/>
          <w:highlight w:val="none"/>
        </w:rPr>
        <w:t xml:space="preserve">名称（加盖公章）</w:t>
      </w:r>
      <w:r>
        <w:rPr>
          <w:rFonts w:ascii="宋体" w:hAnsi="宋体" w:eastAsia="宋体" w:cs="Times New Roman"/>
          <w:color w:val="auto"/>
          <w:sz w:val="24"/>
          <w:szCs w:val="24"/>
          <w:highlight w:val="none"/>
          <w:lang w:val="zh-CN"/>
        </w:rPr>
        <w:t xml:space="preserve">：</w:t>
      </w:r>
      <w:r>
        <w:rPr>
          <w:rFonts w:hint="eastAsia" w:ascii="Calibri" w:hAnsi="Calibri" w:eastAsia="宋体" w:cs="Times New Roman"/>
          <w:color w:val="auto"/>
          <w:sz w:val="24"/>
          <w:szCs w:val="24"/>
          <w:highlight w:val="none"/>
          <w:u w:val="single"/>
        </w:rPr>
        <w:t xml:space="preserve">             </w:t>
      </w:r>
      <w:r/>
    </w:p>
    <w:p>
      <w:pPr>
        <w:spacing w:line="360" w:lineRule="auto"/>
        <w:rPr>
          <w:rFonts w:ascii="Calibri" w:hAnsi="Calibri" w:eastAsia="宋体" w:cs="Times New Roman"/>
          <w:color w:val="auto"/>
          <w:sz w:val="24"/>
          <w:szCs w:val="24"/>
          <w:highlight w:val="none"/>
        </w:rPr>
      </w:pPr>
      <w:r>
        <w:rPr>
          <w:rFonts w:hint="eastAsia" w:ascii="宋体" w:hAnsi="宋体" w:eastAsia="宋体" w:cs="Times New Roman"/>
          <w:color w:val="auto"/>
          <w:spacing w:val="-3"/>
          <w:sz w:val="24"/>
          <w:szCs w:val="24"/>
          <w:highlight w:val="none"/>
        </w:rPr>
        <w:t xml:space="preserve">法定代表人（</w:t>
      </w:r>
      <w:r>
        <w:rPr>
          <w:rFonts w:ascii="宋体" w:hAnsi="宋体" w:eastAsia="宋体" w:cs="Times New Roman"/>
          <w:color w:val="auto"/>
          <w:sz w:val="24"/>
          <w:szCs w:val="24"/>
          <w:highlight w:val="none"/>
        </w:rPr>
        <w:t xml:space="preserve">单位负责人</w:t>
      </w:r>
      <w:r>
        <w:rPr>
          <w:rFonts w:hint="eastAsia" w:ascii="宋体" w:hAnsi="宋体" w:eastAsia="宋体" w:cs="Times New Roman"/>
          <w:color w:val="auto"/>
          <w:spacing w:val="-3"/>
          <w:sz w:val="24"/>
          <w:szCs w:val="24"/>
          <w:highlight w:val="none"/>
        </w:rPr>
        <w:t xml:space="preserve">）（签字、签章或印鉴）：</w:t>
      </w:r>
      <w:r>
        <w:rPr>
          <w:rFonts w:hint="eastAsia" w:ascii="Calibri" w:hAnsi="Calibri" w:eastAsia="宋体" w:cs="Times New Roman"/>
          <w:color w:val="auto"/>
          <w:sz w:val="24"/>
          <w:szCs w:val="24"/>
          <w:highlight w:val="none"/>
          <w:u w:val="single"/>
        </w:rPr>
        <w:t xml:space="preserve">             </w:t>
      </w:r>
      <w:r/>
    </w:p>
    <w:p>
      <w:pPr>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日期：    年     月     日</w:t>
      </w:r>
      <w:r/>
    </w:p>
    <w:p>
      <w:pPr>
        <w:ind w:left="0" w:firstLine="0"/>
        <w:jc w:val="left"/>
        <w:keepLines/>
        <w:keepNext/>
        <w:spacing w:before="260" w:after="260" w:line="416" w:lineRule="auto"/>
        <w:rPr>
          <w:rFonts w:hint="eastAsia" w:ascii="Arial" w:hAnsi="Arial" w:eastAsia="宋体" w:cs="Arial"/>
          <w:i/>
          <w:iCs/>
          <w:color w:val="auto"/>
          <w:sz w:val="30"/>
          <w:szCs w:val="30"/>
          <w:highlight w:val="none"/>
          <w:u w:val="single"/>
        </w:rPr>
        <w:sectPr>
          <w:footnotePr/>
          <w:endnotePr/>
          <w:type w:val="nextPage"/>
          <w:pgSz w:w="11906" w:h="16838" w:orient="portrait"/>
          <w:pgMar w:top="1134" w:right="1134" w:bottom="1134" w:left="1134" w:header="720" w:footer="720" w:gutter="0"/>
          <w:pgNumType w:start="1"/>
          <w:cols w:num="1" w:sep="0" w:space="1701" w:equalWidth="1"/>
          <w:docGrid w:linePitch="360"/>
        </w:sectPr>
        <w:outlineLvl w:val="1"/>
      </w:pPr>
      <w:r>
        <w:rPr>
          <w:rFonts w:hint="eastAsia" w:ascii="Arial" w:hAnsi="Arial" w:eastAsia="宋体" w:cs="Arial"/>
          <w:i/>
          <w:iCs/>
          <w:color w:val="auto"/>
          <w:sz w:val="30"/>
          <w:szCs w:val="30"/>
          <w:highlight w:val="none"/>
          <w:u w:val="single"/>
        </w:rPr>
      </w:r>
      <w:r/>
    </w:p>
    <w:p>
      <w:pPr>
        <w:ind w:left="0" w:firstLine="0"/>
        <w:jc w:val="left"/>
        <w:keepLines/>
        <w:keepNext/>
        <w:spacing w:before="260" w:after="260" w:line="416" w:lineRule="auto"/>
        <w:rPr>
          <w:rFonts w:ascii="黑体" w:hAnsi="黑体" w:eastAsia="黑体" w:cs="Times New Roman"/>
          <w:b/>
          <w:i/>
          <w:color w:val="auto"/>
          <w:sz w:val="30"/>
          <w:szCs w:val="30"/>
          <w:highlight w:val="none"/>
          <w:u w:val="single"/>
        </w:rPr>
        <w:outlineLvl w:val="1"/>
      </w:pPr>
      <w:r>
        <w:rPr>
          <w:rFonts w:hint="eastAsia" w:ascii="Arial" w:hAnsi="Arial" w:eastAsia="宋体" w:cs="Arial"/>
          <w:i/>
          <w:iCs/>
          <w:color w:val="auto"/>
          <w:sz w:val="30"/>
          <w:szCs w:val="30"/>
          <w:highlight w:val="none"/>
          <w:u w:val="single"/>
        </w:rPr>
        <w:t xml:space="preserve">十、投标函</w:t>
      </w:r>
      <w:r/>
    </w:p>
    <w:p>
      <w:pPr>
        <w:jc w:val="center"/>
        <w:spacing w:line="360" w:lineRule="auto"/>
        <w:tabs>
          <w:tab w:val="left" w:pos="360" w:leader="none"/>
        </w:tabs>
        <w:rPr>
          <w:rFonts w:ascii="Times New Roman" w:hAnsi="Times New Roman" w:eastAsia="宋体" w:cs="Times New Roman"/>
          <w:color w:val="auto"/>
          <w:sz w:val="24"/>
          <w:szCs w:val="24"/>
          <w:highlight w:val="none"/>
        </w:rPr>
      </w:pPr>
      <w:r>
        <w:rPr>
          <w:rFonts w:hint="eastAsia" w:ascii="黑体" w:hAnsi="黑体" w:eastAsia="黑体" w:cs="宋体"/>
          <w:bCs/>
          <w:color w:val="auto"/>
          <w:sz w:val="36"/>
          <w:szCs w:val="28"/>
          <w:highlight w:val="none"/>
        </w:rPr>
        <w:t xml:space="preserve">投标函</w:t>
      </w:r>
      <w:r/>
    </w:p>
    <w:p>
      <w:pPr>
        <w:jc w:val="left"/>
        <w:spacing w:line="500" w:lineRule="exact"/>
        <w:rPr>
          <w:rFonts w:hint="eastAsia" w:ascii="宋体" w:hAnsi="宋体" w:eastAsia="宋体" w:cs="Times New Roman"/>
          <w:color w:val="auto"/>
          <w:sz w:val="24"/>
          <w:szCs w:val="21"/>
          <w:highlight w:val="none"/>
          <w:lang w:eastAsia="zh-CN"/>
        </w:rPr>
      </w:pPr>
      <w:r>
        <w:rPr>
          <w:rFonts w:hint="eastAsia" w:ascii="宋体" w:hAnsi="宋体" w:eastAsia="宋体" w:cs="Times New Roman"/>
          <w:color w:val="auto"/>
          <w:sz w:val="24"/>
          <w:szCs w:val="21"/>
          <w:highlight w:val="none"/>
        </w:rPr>
        <w:t xml:space="preserve">致：</w:t>
      </w:r>
      <w:r>
        <w:rPr>
          <w:rFonts w:hint="eastAsia" w:ascii="宋体" w:hAnsi="宋体" w:eastAsia="宋体" w:cs="Times New Roman"/>
          <w:color w:val="auto"/>
          <w:sz w:val="24"/>
          <w:szCs w:val="21"/>
          <w:highlight w:val="none"/>
          <w:lang w:eastAsia="zh-CN"/>
        </w:rPr>
        <w:t xml:space="preserve">采购人</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根据贵方的JSZC-_________________号招标文件，正式授权下述签字人_________________(姓名)代表我方______________（投标人的名称），全权处理本次项目投标的有关事宜。</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据此函，__________签字人兹宣布同意如下：</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1.按招标文件规定的各项要求，向买方提供所需货物（包含与货物相关的工程、服务）。</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2.我们完全理解贵方不一定将合同授予最低报价的投标人。</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4.我们同意从规定的开标日期起遵循本投标文件，并在规定的投标有效期期满之前均具有约束力。</w:t>
      </w:r>
      <w:r/>
    </w:p>
    <w:p>
      <w:pPr>
        <w:ind w:firstLine="480"/>
        <w:jc w:val="left"/>
        <w:spacing w:line="500" w:lineRule="exact"/>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t xml:space="preserve">5</w:t>
      </w:r>
      <w:r>
        <w:rPr>
          <w:rFonts w:hint="eastAsia" w:ascii="宋体" w:hAnsi="宋体" w:eastAsia="宋体" w:cs="Times New Roman"/>
          <w:color w:val="auto"/>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t xml:space="preserve">6</w:t>
      </w:r>
      <w:r>
        <w:rPr>
          <w:rFonts w:hint="eastAsia" w:ascii="宋体" w:hAnsi="宋体" w:eastAsia="宋体" w:cs="Times New Roman"/>
          <w:color w:val="auto"/>
          <w:sz w:val="24"/>
          <w:szCs w:val="21"/>
          <w:highlight w:val="none"/>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t xml:space="preserve">7</w:t>
      </w:r>
      <w:r>
        <w:rPr>
          <w:rFonts w:hint="eastAsia" w:ascii="宋体" w:hAnsi="宋体" w:eastAsia="宋体" w:cs="Times New Roman"/>
          <w:color w:val="auto"/>
          <w:sz w:val="24"/>
          <w:szCs w:val="21"/>
          <w:highlight w:val="none"/>
        </w:rPr>
        <w:t xml:space="preserve">.与本投标有关的正式通讯地址为：</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地        址：</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邮        编：</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电        话：</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传        真：</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投标人开户行：</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账        号： </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Times New Roman" w:hAnsi="Times New Roman" w:eastAsia="宋体" w:cs="Times New Roman"/>
          <w:color w:val="auto"/>
          <w:sz w:val="24"/>
          <w:szCs w:val="24"/>
          <w:highlight w:val="none"/>
        </w:rPr>
        <w:t xml:space="preserve">或委托代理人（签字或盖章）：</w:t>
      </w:r>
      <w:r/>
    </w:p>
    <w:p>
      <w:pPr>
        <w:ind w:firstLine="480"/>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rPr>
          <w:color w:val="auto"/>
          <w:highlight w:val="none"/>
        </w:rPr>
      </w:pPr>
      <w:r>
        <w:rPr>
          <w:color w:val="auto"/>
          <w:highlight w:val="none"/>
        </w:rPr>
      </w:r>
      <w:r/>
    </w:p>
    <w:p>
      <w:pPr>
        <w:ind w:left="0" w:firstLine="0"/>
        <w:jc w:val="left"/>
        <w:keepLines/>
        <w:keepNext/>
        <w:spacing w:before="360" w:after="200" w:line="360" w:lineRule="auto"/>
        <w:rPr>
          <w:rFonts w:ascii="Arial" w:hAnsi="Arial" w:eastAsia="宋体" w:cs="Arial"/>
          <w:color w:val="auto"/>
          <w:sz w:val="36"/>
          <w:szCs w:val="36"/>
          <w:highlight w:val="none"/>
        </w:rPr>
        <w:outlineLvl w:val="1"/>
      </w:pPr>
      <w:r>
        <w:rPr>
          <w:rFonts w:hint="eastAsia" w:ascii="Arial" w:hAnsi="Arial" w:eastAsia="宋体" w:cs="Arial"/>
          <w:color w:val="auto"/>
          <w:sz w:val="36"/>
          <w:szCs w:val="36"/>
          <w:highlight w:val="none"/>
        </w:rPr>
        <w:t xml:space="preserve">十一、中小企业声明函（货物）</w:t>
      </w:r>
      <w:r/>
    </w:p>
    <w:p>
      <w:pPr>
        <w:jc w:val="center"/>
        <w:spacing w:line="360" w:lineRule="auto"/>
        <w:tabs>
          <w:tab w:val="left" w:pos="360" w:leader="none"/>
        </w:tabs>
        <w:rPr>
          <w:rFonts w:ascii="宋体" w:hAnsi="宋体" w:eastAsia="宋体" w:cs="Times New Roman"/>
          <w:color w:val="auto"/>
          <w:sz w:val="24"/>
          <w:szCs w:val="24"/>
          <w:highlight w:val="none"/>
        </w:rPr>
      </w:pPr>
      <w:r>
        <w:rPr>
          <w:rFonts w:hint="eastAsia" w:ascii="黑体" w:hAnsi="黑体" w:eastAsia="黑体" w:cs="宋体"/>
          <w:bCs/>
          <w:color w:val="auto"/>
          <w:sz w:val="36"/>
          <w:szCs w:val="28"/>
          <w:highlight w:val="none"/>
        </w:rPr>
        <w:t xml:space="preserve">中小企业声明函</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Times New Roman"/>
          <w:color w:val="auto"/>
          <w:sz w:val="24"/>
          <w:szCs w:val="24"/>
          <w:highlight w:val="none"/>
          <w:u w:val="single"/>
        </w:rPr>
        <w:t xml:space="preserve">（单位名称）</w:t>
      </w:r>
      <w:r>
        <w:rPr>
          <w:rFonts w:hint="eastAsia" w:ascii="宋体" w:hAnsi="宋体" w:eastAsia="宋体" w:cs="Times New Roman"/>
          <w:color w:val="auto"/>
          <w:sz w:val="24"/>
          <w:szCs w:val="24"/>
          <w:highlight w:val="none"/>
        </w:rPr>
        <w:t xml:space="preserve">的</w:t>
      </w:r>
      <w:r>
        <w:rPr>
          <w:rFonts w:hint="eastAsia" w:ascii="宋体" w:hAnsi="宋体" w:eastAsia="宋体" w:cs="Times New Roman"/>
          <w:color w:val="auto"/>
          <w:sz w:val="24"/>
          <w:szCs w:val="24"/>
          <w:highlight w:val="none"/>
          <w:u w:val="single"/>
        </w:rPr>
        <w:t xml:space="preserve">（项目名称）</w:t>
      </w:r>
      <w:r>
        <w:rPr>
          <w:rFonts w:hint="eastAsia" w:ascii="宋体" w:hAnsi="宋体" w:eastAsia="宋体" w:cs="Times New Roman"/>
          <w:color w:val="auto"/>
          <w:sz w:val="24"/>
          <w:szCs w:val="24"/>
          <w:highlight w:val="none"/>
        </w:rPr>
        <w:t xml:space="preserve">（项目编号：</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firstLine="480"/>
        <w:spacing w:line="500" w:lineRule="exact"/>
        <w:rPr>
          <w:rFonts w:ascii="宋体" w:hAnsi="宋体" w:eastAsia="宋体" w:cs="Times New Roman"/>
          <w:i/>
          <w:color w:val="auto"/>
          <w:sz w:val="24"/>
          <w:szCs w:val="24"/>
          <w:highlight w:val="none"/>
          <w:u w:val="single"/>
        </w:rPr>
      </w:pPr>
      <w:r>
        <w:rPr>
          <w:rFonts w:hint="eastAsia"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u w:val="single"/>
        </w:rPr>
        <w:t xml:space="preserve">（标的名称）</w:t>
      </w:r>
      <w:r>
        <w:rPr>
          <w:rFonts w:hint="eastAsia" w:ascii="宋体" w:hAnsi="宋体" w:eastAsia="宋体" w:cs="Times New Roman"/>
          <w:color w:val="auto"/>
          <w:sz w:val="24"/>
          <w:szCs w:val="24"/>
          <w:highlight w:val="none"/>
        </w:rPr>
        <w:t xml:space="preserve">，属于</w:t>
      </w:r>
      <w:r>
        <w:rPr>
          <w:rFonts w:hint="eastAsia" w:ascii="宋体" w:hAnsi="宋体" w:eastAsia="宋体" w:cs="Times New Roman"/>
          <w:color w:val="auto"/>
          <w:sz w:val="24"/>
          <w:szCs w:val="24"/>
          <w:highlight w:val="none"/>
          <w:u w:val="single"/>
        </w:rPr>
        <w:t xml:space="preserve">（采购文件中明确的所属行业）</w:t>
      </w:r>
      <w:r>
        <w:rPr>
          <w:rFonts w:hint="eastAsia" w:ascii="宋体" w:hAnsi="宋体" w:eastAsia="宋体" w:cs="Times New Roman"/>
          <w:color w:val="auto"/>
          <w:sz w:val="24"/>
          <w:szCs w:val="24"/>
          <w:highlight w:val="none"/>
        </w:rPr>
        <w:t xml:space="preserve">行业；制造商为</w:t>
      </w:r>
      <w:r>
        <w:rPr>
          <w:rFonts w:hint="eastAsia" w:ascii="宋体" w:hAnsi="宋体" w:eastAsia="宋体" w:cs="Times New Roman"/>
          <w:color w:val="auto"/>
          <w:sz w:val="24"/>
          <w:szCs w:val="24"/>
          <w:highlight w:val="none"/>
          <w:u w:val="single"/>
        </w:rPr>
        <w:t xml:space="preserve">（企业名称）</w:t>
      </w:r>
      <w:r>
        <w:rPr>
          <w:rFonts w:hint="eastAsia" w:ascii="宋体" w:hAnsi="宋体" w:eastAsia="宋体" w:cs="Times New Roman"/>
          <w:color w:val="auto"/>
          <w:sz w:val="24"/>
          <w:szCs w:val="24"/>
          <w:highlight w:val="none"/>
        </w:rPr>
        <w:t xml:space="preserve">，从业人员</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人，营业收入为</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万元，资产总额为</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万元，属于</w:t>
      </w:r>
      <w:r>
        <w:rPr>
          <w:rFonts w:hint="eastAsia" w:ascii="宋体" w:hAnsi="宋体" w:eastAsia="宋体" w:cs="Times New Roman"/>
          <w:color w:val="auto"/>
          <w:sz w:val="24"/>
          <w:szCs w:val="24"/>
          <w:highlight w:val="none"/>
          <w:u w:val="single"/>
        </w:rPr>
        <w:t xml:space="preserve">（中型企业、小型企业、微型企业）</w:t>
      </w:r>
      <w:r>
        <w:rPr>
          <w:rFonts w:hint="eastAsia" w:ascii="宋体" w:hAnsi="宋体" w:eastAsia="宋体" w:cs="Times New Roman"/>
          <w:color w:val="auto"/>
          <w:sz w:val="24"/>
          <w:szCs w:val="24"/>
          <w:highlight w:val="none"/>
        </w:rPr>
        <w:t xml:space="preserve">；</w:t>
      </w:r>
      <w:r/>
    </w:p>
    <w:p>
      <w:pPr>
        <w:ind w:firstLine="480"/>
        <w:spacing w:line="500" w:lineRule="exact"/>
        <w:rPr>
          <w:rFonts w:ascii="宋体" w:hAnsi="宋体" w:eastAsia="宋体" w:cs="Times New Roman"/>
          <w:i/>
          <w:color w:val="auto"/>
          <w:sz w:val="24"/>
          <w:szCs w:val="24"/>
          <w:highlight w:val="none"/>
          <w:u w:val="single"/>
        </w:rPr>
      </w:pPr>
      <w:r>
        <w:rPr>
          <w:rFonts w:hint="eastAsia" w:ascii="宋体" w:hAnsi="宋体" w:eastAsia="宋体" w:cs="Times New Roman"/>
          <w:color w:val="auto"/>
          <w:sz w:val="24"/>
          <w:szCs w:val="24"/>
          <w:highlight w:val="none"/>
        </w:rPr>
        <w:t xml:space="preserve">2.</w:t>
      </w:r>
      <w:r>
        <w:rPr>
          <w:rFonts w:hint="eastAsia" w:ascii="宋体" w:hAnsi="宋体" w:eastAsia="宋体" w:cs="Times New Roman"/>
          <w:color w:val="auto"/>
          <w:sz w:val="24"/>
          <w:szCs w:val="24"/>
          <w:highlight w:val="none"/>
          <w:u w:val="single"/>
        </w:rPr>
        <w:t xml:space="preserve"> （标的名称）</w:t>
      </w:r>
      <w:r>
        <w:rPr>
          <w:rFonts w:hint="eastAsia" w:ascii="宋体" w:hAnsi="宋体" w:eastAsia="宋体" w:cs="Times New Roman"/>
          <w:color w:val="auto"/>
          <w:sz w:val="24"/>
          <w:szCs w:val="24"/>
          <w:highlight w:val="none"/>
        </w:rPr>
        <w:t xml:space="preserve">，属于</w:t>
      </w:r>
      <w:r>
        <w:rPr>
          <w:rFonts w:hint="eastAsia" w:ascii="宋体" w:hAnsi="宋体" w:eastAsia="宋体" w:cs="Times New Roman"/>
          <w:color w:val="auto"/>
          <w:sz w:val="24"/>
          <w:szCs w:val="24"/>
          <w:highlight w:val="none"/>
          <w:u w:val="single"/>
        </w:rPr>
        <w:t xml:space="preserve">（采购文件中明确的所属行业）</w:t>
      </w:r>
      <w:r>
        <w:rPr>
          <w:rFonts w:hint="eastAsia" w:ascii="宋体" w:hAnsi="宋体" w:eastAsia="宋体" w:cs="Times New Roman"/>
          <w:color w:val="auto"/>
          <w:sz w:val="24"/>
          <w:szCs w:val="24"/>
          <w:highlight w:val="none"/>
        </w:rPr>
        <w:t xml:space="preserve">行业；制造商为</w:t>
      </w:r>
      <w:r>
        <w:rPr>
          <w:rFonts w:hint="eastAsia" w:ascii="宋体" w:hAnsi="宋体" w:eastAsia="宋体" w:cs="Times New Roman"/>
          <w:color w:val="auto"/>
          <w:sz w:val="24"/>
          <w:szCs w:val="24"/>
          <w:highlight w:val="none"/>
          <w:u w:val="single"/>
        </w:rPr>
        <w:t xml:space="preserve">（企业名称）</w:t>
      </w:r>
      <w:r>
        <w:rPr>
          <w:rFonts w:hint="eastAsia" w:ascii="宋体" w:hAnsi="宋体" w:eastAsia="宋体" w:cs="Times New Roman"/>
          <w:color w:val="auto"/>
          <w:sz w:val="24"/>
          <w:szCs w:val="24"/>
          <w:highlight w:val="none"/>
        </w:rPr>
        <w:t xml:space="preserve">，从业人员</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人，营业收入为</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万元，资产总额为</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万元，属于</w:t>
      </w:r>
      <w:r>
        <w:rPr>
          <w:rFonts w:hint="eastAsia" w:ascii="宋体" w:hAnsi="宋体" w:eastAsia="宋体" w:cs="Times New Roman"/>
          <w:color w:val="auto"/>
          <w:sz w:val="24"/>
          <w:szCs w:val="24"/>
          <w:highlight w:val="none"/>
          <w:u w:val="single"/>
        </w:rPr>
        <w:t xml:space="preserve">（中型企业、小型企业、微型企业）</w:t>
      </w:r>
      <w:r>
        <w:rPr>
          <w:rFonts w:hint="eastAsia" w:ascii="宋体" w:hAnsi="宋体" w:eastAsia="宋体" w:cs="Times New Roman"/>
          <w:color w:val="auto"/>
          <w:sz w:val="24"/>
          <w:szCs w:val="24"/>
          <w:highlight w:val="none"/>
        </w:rPr>
        <w:t xml:space="preserve">；</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本企业对上述声明内容的真实性负责。如有虚假，将依法承担相应责任。</w:t>
      </w:r>
      <w:r/>
    </w:p>
    <w:p>
      <w:pPr>
        <w:ind w:right="1620"/>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right="1620" w:firstLine="2880"/>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企业名称（盖章）：</w:t>
      </w:r>
      <w:r/>
    </w:p>
    <w:p>
      <w:pPr>
        <w:ind w:right="1140" w:firstLine="2880"/>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日   期：</w:t>
      </w:r>
      <w:r/>
    </w:p>
    <w:p>
      <w:pPr>
        <w:ind w:right="480"/>
        <w:jc w:val="left"/>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right="480"/>
        <w:jc w:val="left"/>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right="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填报说明：</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rPr>
          <w:rFonts w:ascii="宋体" w:hAnsi="宋体" w:eastAsia="宋体" w:cs="Times New Roman"/>
          <w:color w:val="auto"/>
          <w:sz w:val="24"/>
          <w:szCs w:val="24"/>
          <w:highlight w:val="none"/>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2、请供应商如实填写，所填内容须与投标分项报价表一致，如填写不完整或不一致或填写有误，将不享受扶持政策。</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3、中标人的《中小企业声明函》随中标结果公开，接受社会监督。</w:t>
      </w:r>
      <w:r/>
    </w:p>
    <w:p>
      <w:pPr>
        <w:ind w:left="0" w:firstLine="0"/>
        <w:jc w:val="left"/>
        <w:keepLines/>
        <w:keepNext/>
        <w:spacing w:before="360" w:after="200" w:line="360" w:lineRule="auto"/>
        <w:rPr>
          <w:rFonts w:ascii="Arial" w:hAnsi="Arial" w:eastAsia="宋体" w:cs="Arial"/>
          <w:color w:val="auto"/>
          <w:sz w:val="36"/>
          <w:highlight w:val="none"/>
        </w:rPr>
        <w:outlineLvl w:val="1"/>
      </w:pPr>
      <w:r>
        <w:rPr>
          <w:rFonts w:hint="eastAsia" w:ascii="Arial" w:hAnsi="Arial" w:eastAsia="宋体" w:cs="Arial"/>
          <w:color w:val="auto"/>
          <w:sz w:val="36"/>
          <w:highlight w:val="none"/>
        </w:rPr>
        <w:t xml:space="preserve">十二、残疾人福利性单位声明函</w:t>
      </w:r>
      <w:r/>
    </w:p>
    <w:p>
      <w:pPr>
        <w:jc w:val="center"/>
        <w:spacing w:line="360" w:lineRule="auto"/>
        <w:tabs>
          <w:tab w:val="left" w:pos="360" w:leader="none"/>
        </w:tabs>
        <w:rPr>
          <w:rFonts w:ascii="宋体" w:hAnsi="宋体" w:eastAsia="宋体" w:cs="Times New Roman"/>
          <w:color w:val="auto"/>
          <w:sz w:val="24"/>
          <w:szCs w:val="21"/>
          <w:highlight w:val="none"/>
        </w:rPr>
      </w:pPr>
      <w:r>
        <w:rPr>
          <w:rFonts w:hint="eastAsia" w:ascii="黑体" w:hAnsi="黑体" w:eastAsia="黑体" w:cs="宋体"/>
          <w:bCs/>
          <w:color w:val="auto"/>
          <w:sz w:val="36"/>
          <w:szCs w:val="28"/>
          <w:highlight w:val="none"/>
        </w:rPr>
        <w:t xml:space="preserve">残疾人福利性单位声明函</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本单位郑重声明，根据《财政部 民政部 中国残疾人联合会关于促进残疾人就业政府采购政策的通知》（财库</w:t>
      </w:r>
      <w:r>
        <w:rPr>
          <w:rFonts w:hint="eastAsia" w:ascii="宋体" w:hAnsi="宋体" w:eastAsia="宋体" w:cs="Times New Roman"/>
          <w:color w:val="auto"/>
          <w:sz w:val="24"/>
          <w:szCs w:val="24"/>
          <w:highlight w:val="none"/>
        </w:rPr>
        <w:t xml:space="preserve">〔2017〕</w:t>
      </w:r>
      <w:r>
        <w:rPr>
          <w:rFonts w:hint="eastAsia" w:ascii="宋体" w:hAnsi="宋体" w:eastAsia="宋体" w:cs="Times New Roman"/>
          <w:color w:val="auto"/>
          <w:sz w:val="24"/>
          <w:szCs w:val="21"/>
          <w:highlight w:val="none"/>
        </w:rPr>
        <w:t xml:space="preserve">141号）的规定，本单位为符合条件的残疾人福利性单位，且本单位参加</w:t>
      </w:r>
      <w:r>
        <w:rPr>
          <w:rFonts w:hint="eastAsia"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 xml:space="preserve">单位的</w:t>
      </w:r>
      <w:r>
        <w:rPr>
          <w:rFonts w:hint="eastAsia"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 xml:space="preserve">项目（</w:t>
      </w:r>
      <w:r>
        <w:rPr>
          <w:rFonts w:hint="eastAsia" w:ascii="宋体" w:hAnsi="宋体" w:eastAsia="宋体" w:cs="Times New Roman"/>
          <w:color w:val="auto"/>
          <w:sz w:val="24"/>
          <w:szCs w:val="24"/>
          <w:highlight w:val="none"/>
        </w:rPr>
        <w:t xml:space="preserve">项目编号：</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1"/>
          <w:highlight w:val="none"/>
        </w:rPr>
        <w:t xml:space="preserve">）采购活动提供本单位制造的货物，或者提供其他残疾人福利性单位制造的货物（不包括使用非残疾人福利性单位注册商标的货物）。相关企业的具体情况如下：</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u w:val="single"/>
        </w:rPr>
        <w:t xml:space="preserve">（标的名称）</w:t>
      </w:r>
      <w:r>
        <w:rPr>
          <w:rFonts w:hint="eastAsia" w:ascii="宋体" w:hAnsi="宋体" w:eastAsia="宋体" w:cs="Times New Roman"/>
          <w:color w:val="auto"/>
          <w:sz w:val="24"/>
          <w:szCs w:val="21"/>
          <w:highlight w:val="none"/>
        </w:rPr>
        <w:t xml:space="preserve">，制造商为</w:t>
      </w:r>
      <w:r>
        <w:rPr>
          <w:rFonts w:hint="eastAsia" w:ascii="宋体" w:hAnsi="宋体" w:eastAsia="宋体" w:cs="Times New Roman"/>
          <w:color w:val="auto"/>
          <w:sz w:val="24"/>
          <w:szCs w:val="21"/>
          <w:highlight w:val="none"/>
          <w:u w:val="single"/>
        </w:rPr>
        <w:t xml:space="preserve">（企业名称）</w:t>
      </w:r>
      <w:r>
        <w:rPr>
          <w:rFonts w:hint="eastAsia" w:ascii="宋体" w:hAnsi="宋体" w:eastAsia="宋体" w:cs="Times New Roman"/>
          <w:color w:val="auto"/>
          <w:sz w:val="24"/>
          <w:szCs w:val="21"/>
          <w:highlight w:val="none"/>
        </w:rPr>
        <w:t xml:space="preserve">，属于残疾人福利性单位； </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2.</w:t>
      </w:r>
      <w:r>
        <w:rPr>
          <w:rFonts w:hint="eastAsia" w:ascii="宋体" w:hAnsi="宋体" w:eastAsia="宋体" w:cs="Times New Roman"/>
          <w:color w:val="auto"/>
          <w:sz w:val="24"/>
          <w:szCs w:val="21"/>
          <w:highlight w:val="none"/>
          <w:u w:val="single"/>
        </w:rPr>
        <w:t xml:space="preserve">（标的名称）</w:t>
      </w:r>
      <w:r>
        <w:rPr>
          <w:rFonts w:hint="eastAsia" w:ascii="宋体" w:hAnsi="宋体" w:eastAsia="宋体" w:cs="Times New Roman"/>
          <w:color w:val="auto"/>
          <w:sz w:val="24"/>
          <w:szCs w:val="21"/>
          <w:highlight w:val="none"/>
        </w:rPr>
        <w:t xml:space="preserve">，制造商为</w:t>
      </w:r>
      <w:r>
        <w:rPr>
          <w:rFonts w:hint="eastAsia" w:ascii="宋体" w:hAnsi="宋体" w:eastAsia="宋体" w:cs="Times New Roman"/>
          <w:color w:val="auto"/>
          <w:sz w:val="24"/>
          <w:szCs w:val="21"/>
          <w:highlight w:val="none"/>
          <w:u w:val="single"/>
        </w:rPr>
        <w:t xml:space="preserve">（企业名称）</w:t>
      </w:r>
      <w:r>
        <w:rPr>
          <w:rFonts w:hint="eastAsia" w:ascii="宋体" w:hAnsi="宋体" w:eastAsia="宋体" w:cs="Times New Roman"/>
          <w:color w:val="auto"/>
          <w:sz w:val="24"/>
          <w:szCs w:val="21"/>
          <w:highlight w:val="none"/>
        </w:rPr>
        <w:t xml:space="preserve">，属于残疾人福利性单位；</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w:t>
      </w:r>
      <w:r/>
    </w:p>
    <w:p>
      <w:pPr>
        <w:ind w:firstLine="480"/>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本单位对上述声明的真实性负责。如有虚假，将依法承担相应责任。</w:t>
      </w:r>
      <w:r/>
    </w:p>
    <w:p>
      <w:pPr>
        <w:ind w:firstLine="480"/>
        <w:spacing w:line="500" w:lineRule="exact"/>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r>
      <w:r/>
    </w:p>
    <w:p>
      <w:pPr>
        <w:ind w:right="1620" w:firstLine="2880"/>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单位名称（盖章）：</w:t>
      </w:r>
      <w:r/>
    </w:p>
    <w:p>
      <w:pPr>
        <w:ind w:right="1140" w:firstLine="2880"/>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日   期：</w:t>
      </w:r>
      <w:r/>
    </w:p>
    <w:p>
      <w:pPr>
        <w:rPr>
          <w:color w:val="auto"/>
          <w:highlight w:val="none"/>
        </w:rPr>
      </w:pPr>
      <w:r>
        <w:rPr>
          <w:color w:val="auto"/>
          <w:highlight w:val="none"/>
        </w:rPr>
      </w:r>
      <w:r/>
    </w:p>
    <w:p>
      <w:pPr>
        <w:rPr>
          <w:color w:val="auto"/>
          <w:highlight w:val="none"/>
        </w:rPr>
      </w:pPr>
      <w:r>
        <w:rPr>
          <w:color w:val="auto"/>
          <w:highlight w:val="none"/>
        </w:rPr>
      </w:r>
      <w:r/>
    </w:p>
    <w:p>
      <w:pPr>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填报说明：</w:t>
      </w:r>
      <w:r/>
    </w:p>
    <w:p>
      <w:pPr>
        <w:ind w:firstLine="480"/>
        <w:jc w:val="left"/>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w:t>
      </w:r>
      <w:r>
        <w:rPr>
          <w:rFonts w:hint="eastAsia" w:ascii="宋体" w:hAnsi="宋体" w:eastAsia="宋体" w:cs="Times New Roman"/>
          <w:color w:val="auto"/>
          <w:sz w:val="24"/>
          <w:szCs w:val="24"/>
          <w:highlight w:val="none"/>
        </w:rPr>
        <w:t xml:space="preserve">请供应商如实填写，所填内容须与投标分项报价表一致，如填写不完整或不一致或填写有误，将不享受扶持政策。</w:t>
      </w:r>
      <w:r/>
    </w:p>
    <w:p>
      <w:pPr>
        <w:ind w:firstLine="480"/>
        <w:jc w:val="left"/>
        <w:spacing w:line="360" w:lineRule="auto"/>
        <w:rPr>
          <w:rFonts w:ascii="Times New Roman" w:hAnsi="Times New Roman" w:eastAsia="宋体" w:cs="Times New Roman"/>
          <w:color w:val="auto"/>
          <w:sz w:val="24"/>
          <w:szCs w:val="24"/>
          <w:highlight w:val="none"/>
        </w:rPr>
      </w:pPr>
      <w:r>
        <w:rPr>
          <w:rFonts w:hint="eastAsia" w:ascii="宋体" w:hAnsi="宋体" w:eastAsia="宋体" w:cs="Times New Roman"/>
          <w:bCs/>
          <w:color w:val="auto"/>
          <w:sz w:val="24"/>
          <w:szCs w:val="24"/>
          <w:highlight w:val="none"/>
        </w:rPr>
        <w:t xml:space="preserve">2、中标人的《残疾人福利性单位声明函》随中标结果公开</w:t>
      </w:r>
      <w:r>
        <w:rPr>
          <w:rFonts w:hint="eastAsia" w:ascii="宋体" w:hAnsi="宋体" w:eastAsia="宋体" w:cs="Times New Roman"/>
          <w:color w:val="auto"/>
          <w:sz w:val="24"/>
          <w:szCs w:val="24"/>
          <w:highlight w:val="none"/>
        </w:rPr>
        <w:t xml:space="preserve">，接受社会监督</w:t>
      </w:r>
      <w:r>
        <w:rPr>
          <w:rFonts w:hint="eastAsia" w:ascii="宋体" w:hAnsi="宋体" w:eastAsia="宋体" w:cs="Times New Roman"/>
          <w:bCs/>
          <w:color w:val="auto"/>
          <w:sz w:val="24"/>
          <w:szCs w:val="24"/>
          <w:highlight w:val="none"/>
        </w:rPr>
        <w:t xml:space="preserve">。</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ind w:left="0" w:firstLine="0"/>
        <w:jc w:val="left"/>
        <w:keepLines/>
        <w:keepNext/>
        <w:spacing w:before="360" w:after="200" w:line="360" w:lineRule="auto"/>
        <w:rPr>
          <w:rFonts w:hint="eastAsia" w:ascii="Arial" w:hAnsi="Arial" w:eastAsia="宋体" w:cs="Arial"/>
          <w:color w:val="auto"/>
          <w:sz w:val="36"/>
          <w:highlight w:val="none"/>
        </w:rPr>
        <w:sectPr>
          <w:footnotePr/>
          <w:endnotePr/>
          <w:type w:val="nextPage"/>
          <w:pgSz w:w="11906" w:h="16838" w:orient="portrait"/>
          <w:pgMar w:top="1134" w:right="1134" w:bottom="1134" w:left="1134" w:header="720" w:footer="720" w:gutter="0"/>
          <w:pgNumType w:start="1"/>
          <w:cols w:num="1" w:sep="0" w:space="1701" w:equalWidth="1"/>
          <w:docGrid w:linePitch="360"/>
        </w:sectPr>
        <w:outlineLvl w:val="1"/>
      </w:pPr>
      <w:r>
        <w:rPr>
          <w:rFonts w:hint="eastAsia" w:ascii="Arial" w:hAnsi="Arial" w:eastAsia="宋体" w:cs="Arial"/>
          <w:color w:val="auto"/>
          <w:sz w:val="36"/>
          <w:highlight w:val="none"/>
        </w:rPr>
      </w:r>
      <w:r/>
    </w:p>
    <w:p>
      <w:pPr>
        <w:ind w:left="0" w:firstLine="0"/>
        <w:jc w:val="left"/>
        <w:keepLines/>
        <w:keepNext/>
        <w:spacing w:before="360" w:after="200" w:line="360" w:lineRule="auto"/>
        <w:rPr>
          <w:rFonts w:ascii="Arial" w:hAnsi="Arial" w:eastAsia="宋体" w:cs="Arial"/>
          <w:color w:val="auto"/>
          <w:sz w:val="36"/>
          <w:highlight w:val="none"/>
        </w:rPr>
        <w:outlineLvl w:val="1"/>
      </w:pPr>
      <w:r>
        <w:rPr>
          <w:rFonts w:hint="eastAsia" w:ascii="Arial" w:hAnsi="Arial" w:eastAsia="宋体" w:cs="Arial"/>
          <w:color w:val="auto"/>
          <w:sz w:val="36"/>
          <w:highlight w:val="none"/>
        </w:rPr>
        <w:t xml:space="preserve">十三、联合体协议（参考格式）</w:t>
      </w:r>
      <w:r/>
    </w:p>
    <w:p>
      <w:pPr>
        <w:jc w:val="center"/>
        <w:spacing w:line="360" w:lineRule="auto"/>
        <w:tabs>
          <w:tab w:val="left" w:pos="360" w:leader="none"/>
        </w:tabs>
        <w:rPr>
          <w:rFonts w:hint="eastAsia" w:ascii="宋体" w:hAnsi="宋体" w:eastAsia="黑体" w:cs="Times New Roman"/>
          <w:color w:val="auto"/>
          <w:sz w:val="24"/>
          <w:szCs w:val="21"/>
          <w:highlight w:val="none"/>
          <w:u w:val="single"/>
          <w:lang w:eastAsia="zh-CN"/>
        </w:rPr>
      </w:pPr>
      <w:r>
        <w:rPr>
          <w:rFonts w:hint="eastAsia" w:ascii="黑体" w:hAnsi="黑体" w:eastAsia="黑体" w:cs="宋体"/>
          <w:bCs/>
          <w:color w:val="auto"/>
          <w:sz w:val="36"/>
          <w:szCs w:val="28"/>
          <w:highlight w:val="none"/>
        </w:rPr>
        <w:t xml:space="preserve">联合体协议</w:t>
      </w:r>
      <w:r>
        <w:rPr>
          <w:rFonts w:hint="eastAsia" w:ascii="黑体" w:hAnsi="黑体" w:eastAsia="黑体" w:cs="宋体"/>
          <w:bCs/>
          <w:color w:val="auto"/>
          <w:sz w:val="36"/>
          <w:szCs w:val="28"/>
          <w:highlight w:val="none"/>
          <w:lang w:eastAsia="zh-CN"/>
        </w:rPr>
        <w:t xml:space="preserve">（如需）</w:t>
      </w:r>
      <w:r/>
    </w:p>
    <w:p>
      <w:pPr>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u w:val="single"/>
        </w:rPr>
        <w:t xml:space="preserve">（联合体中各供应商全称）</w:t>
      </w:r>
      <w:r>
        <w:rPr>
          <w:rFonts w:hint="eastAsia" w:ascii="宋体" w:hAnsi="宋体" w:eastAsia="宋体" w:cs="Times New Roman"/>
          <w:color w:val="auto"/>
          <w:sz w:val="24"/>
          <w:szCs w:val="21"/>
          <w:highlight w:val="none"/>
        </w:rPr>
        <w:t xml:space="preserve">在此达成以下协议：</w:t>
      </w:r>
      <w:r/>
    </w:p>
    <w:p>
      <w:pPr>
        <w:ind w:firstLine="480"/>
        <w:spacing w:line="500" w:lineRule="exact"/>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rPr>
        <w:t xml:space="preserve">、我们</w:t>
      </w:r>
      <w:r>
        <w:rPr>
          <w:rFonts w:hint="eastAsia" w:ascii="宋体" w:hAnsi="宋体" w:eastAsia="宋体" w:cs="Times New Roman"/>
          <w:color w:val="auto"/>
          <w:sz w:val="24"/>
          <w:szCs w:val="21"/>
          <w:highlight w:val="none"/>
          <w:u w:val="single"/>
        </w:rPr>
        <w:t xml:space="preserve"> （供应商1），（供应商2） ，</w:t>
      </w:r>
      <w:r>
        <w:rPr>
          <w:rFonts w:ascii="宋体" w:hAnsi="宋体" w:eastAsia="宋体" w:cs="Times New Roman"/>
          <w:color w:val="auto"/>
          <w:sz w:val="24"/>
          <w:szCs w:val="21"/>
          <w:highlight w:val="none"/>
          <w:u w:val="single"/>
        </w:rPr>
        <w:t xml:space="preserve">……</w:t>
      </w:r>
      <w:r>
        <w:rPr>
          <w:rFonts w:hint="eastAsia" w:ascii="宋体" w:hAnsi="宋体" w:eastAsia="宋体" w:cs="Times New Roman"/>
          <w:color w:val="auto"/>
          <w:sz w:val="24"/>
          <w:szCs w:val="21"/>
          <w:highlight w:val="none"/>
        </w:rPr>
        <w:t xml:space="preserve">自愿组成联合体，参加</w:t>
      </w:r>
      <w:r>
        <w:rPr>
          <w:rFonts w:hint="eastAsia" w:ascii="宋体" w:hAnsi="宋体" w:eastAsia="宋体" w:cs="Times New Roman"/>
          <w:color w:val="auto"/>
          <w:sz w:val="24"/>
          <w:szCs w:val="24"/>
          <w:highlight w:val="none"/>
          <w:u w:val="single"/>
        </w:rPr>
        <w:t xml:space="preserve">（项目名称）</w:t>
      </w:r>
      <w:r>
        <w:rPr>
          <w:rFonts w:hint="eastAsia" w:ascii="宋体" w:hAnsi="宋体" w:eastAsia="宋体" w:cs="Times New Roman"/>
          <w:color w:val="auto"/>
          <w:sz w:val="24"/>
          <w:szCs w:val="24"/>
          <w:highlight w:val="none"/>
        </w:rPr>
        <w:t xml:space="preserve">（项目编号：</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1"/>
          <w:highlight w:val="none"/>
        </w:rPr>
        <w:t xml:space="preserve">的政府采购活动，我联合体指定</w:t>
      </w:r>
      <w:r>
        <w:rPr>
          <w:rFonts w:hint="eastAsia" w:ascii="宋体" w:hAnsi="宋体" w:eastAsia="宋体" w:cs="Times New Roman"/>
          <w:color w:val="auto"/>
          <w:sz w:val="24"/>
          <w:szCs w:val="21"/>
          <w:highlight w:val="none"/>
          <w:u w:val="single"/>
        </w:rPr>
        <w:t xml:space="preserve">（供应商*）</w:t>
      </w:r>
      <w:r>
        <w:rPr>
          <w:rFonts w:hint="eastAsia" w:ascii="宋体" w:hAnsi="宋体" w:eastAsia="宋体" w:cs="Times New Roman"/>
          <w:color w:val="auto"/>
          <w:sz w:val="24"/>
          <w:szCs w:val="21"/>
          <w:highlight w:val="none"/>
        </w:rPr>
        <w:t xml:space="preserve">为牵头单位（牵头单位必须为联合体成员）。</w:t>
      </w:r>
      <w:r/>
    </w:p>
    <w:p>
      <w:pPr>
        <w:ind w:firstLine="480"/>
        <w:spacing w:line="500" w:lineRule="exact"/>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t xml:space="preserve">2</w:t>
      </w:r>
      <w:r>
        <w:rPr>
          <w:rFonts w:hint="eastAsia" w:ascii="宋体" w:hAnsi="宋体" w:eastAsia="宋体" w:cs="Times New Roman"/>
          <w:color w:val="auto"/>
          <w:sz w:val="24"/>
          <w:szCs w:val="21"/>
          <w:highlight w:val="none"/>
        </w:rPr>
        <w:t xml:space="preserve">、若我们联合中标、成交，</w:t>
      </w:r>
      <w:r>
        <w:rPr>
          <w:rFonts w:hint="eastAsia" w:ascii="宋体" w:hAnsi="宋体" w:eastAsia="宋体" w:cs="Times New Roman"/>
          <w:color w:val="auto"/>
          <w:sz w:val="24"/>
          <w:szCs w:val="21"/>
          <w:highlight w:val="none"/>
          <w:u w:val="single"/>
        </w:rPr>
        <w:t xml:space="preserve">（供应商单位</w:t>
      </w:r>
      <w:r>
        <w:rPr>
          <w:rFonts w:ascii="宋体" w:hAnsi="宋体" w:eastAsia="宋体" w:cs="Times New Roman"/>
          <w:color w:val="auto"/>
          <w:sz w:val="24"/>
          <w:szCs w:val="21"/>
          <w:highlight w:val="none"/>
          <w:u w:val="single"/>
        </w:rPr>
        <w:t xml:space="preserve">1</w:t>
      </w:r>
      <w:r>
        <w:rPr>
          <w:rFonts w:hint="eastAsia" w:ascii="宋体" w:hAnsi="宋体" w:eastAsia="宋体" w:cs="Times New Roman"/>
          <w:color w:val="auto"/>
          <w:sz w:val="24"/>
          <w:szCs w:val="21"/>
          <w:highlight w:val="none"/>
          <w:u w:val="single"/>
        </w:rPr>
        <w:t xml:space="preserve">全称）</w:t>
      </w:r>
      <w:r>
        <w:rPr>
          <w:rFonts w:hint="eastAsia" w:ascii="宋体" w:hAnsi="宋体" w:eastAsia="宋体" w:cs="Times New Roman"/>
          <w:color w:val="auto"/>
          <w:sz w:val="24"/>
          <w:szCs w:val="21"/>
          <w:highlight w:val="none"/>
        </w:rPr>
        <w:t xml:space="preserve">实施项目中</w:t>
      </w:r>
      <w:r>
        <w:rPr>
          <w:rFonts w:hint="eastAsia" w:ascii="宋体" w:hAnsi="宋体" w:eastAsia="宋体" w:cs="Times New Roman"/>
          <w:color w:val="auto"/>
          <w:sz w:val="24"/>
          <w:szCs w:val="21"/>
          <w:highlight w:val="none"/>
          <w:u w:val="single"/>
        </w:rPr>
        <w:t xml:space="preserve">（工作内容）</w:t>
      </w:r>
      <w:r>
        <w:rPr>
          <w:rFonts w:hint="eastAsia" w:ascii="宋体" w:hAnsi="宋体" w:eastAsia="宋体" w:cs="Times New Roman"/>
          <w:color w:val="auto"/>
          <w:sz w:val="24"/>
          <w:szCs w:val="21"/>
          <w:highlight w:val="none"/>
        </w:rPr>
        <w:t xml:space="preserve">部分工作，并承担相应的责任。</w:t>
      </w:r>
      <w:r>
        <w:rPr>
          <w:rFonts w:hint="eastAsia" w:ascii="宋体" w:hAnsi="宋体" w:eastAsia="宋体" w:cs="Times New Roman"/>
          <w:color w:val="auto"/>
          <w:sz w:val="24"/>
          <w:szCs w:val="21"/>
          <w:highlight w:val="none"/>
          <w:u w:val="single"/>
        </w:rPr>
        <w:t xml:space="preserve">（供应商单位</w:t>
      </w:r>
      <w:r>
        <w:rPr>
          <w:rFonts w:ascii="宋体" w:hAnsi="宋体" w:eastAsia="宋体" w:cs="Times New Roman"/>
          <w:color w:val="auto"/>
          <w:sz w:val="24"/>
          <w:szCs w:val="21"/>
          <w:highlight w:val="none"/>
          <w:u w:val="single"/>
        </w:rPr>
        <w:t xml:space="preserve">2</w:t>
      </w:r>
      <w:r>
        <w:rPr>
          <w:rFonts w:hint="eastAsia" w:ascii="宋体" w:hAnsi="宋体" w:eastAsia="宋体" w:cs="Times New Roman"/>
          <w:color w:val="auto"/>
          <w:sz w:val="24"/>
          <w:szCs w:val="21"/>
          <w:highlight w:val="none"/>
          <w:u w:val="single"/>
        </w:rPr>
        <w:t xml:space="preserve">全称）</w:t>
      </w:r>
      <w:r>
        <w:rPr>
          <w:rFonts w:hint="eastAsia" w:ascii="宋体" w:hAnsi="宋体" w:eastAsia="宋体" w:cs="Times New Roman"/>
          <w:color w:val="auto"/>
          <w:sz w:val="24"/>
          <w:szCs w:val="21"/>
          <w:highlight w:val="none"/>
        </w:rPr>
        <w:t xml:space="preserve">实施项目中</w:t>
      </w:r>
      <w:r>
        <w:rPr>
          <w:rFonts w:hint="eastAsia" w:ascii="宋体" w:hAnsi="宋体" w:eastAsia="宋体" w:cs="Times New Roman"/>
          <w:color w:val="auto"/>
          <w:sz w:val="24"/>
          <w:szCs w:val="21"/>
          <w:highlight w:val="none"/>
          <w:u w:val="single"/>
        </w:rPr>
        <w:t xml:space="preserve">（工作内容）</w:t>
      </w:r>
      <w:r>
        <w:rPr>
          <w:rFonts w:hint="eastAsia" w:ascii="宋体" w:hAnsi="宋体" w:eastAsia="宋体" w:cs="Times New Roman"/>
          <w:color w:val="auto"/>
          <w:sz w:val="24"/>
          <w:szCs w:val="21"/>
          <w:highlight w:val="none"/>
        </w:rPr>
        <w:t xml:space="preserve">部分工作，并承担相应的责任……。（注：联合体中各供应商都应明示所承担的工作和相应的责任）。</w:t>
      </w:r>
      <w:r/>
    </w:p>
    <w:p>
      <w:pPr>
        <w:ind w:firstLine="480"/>
        <w:spacing w:line="500" w:lineRule="exact"/>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t xml:space="preserve">3</w:t>
      </w:r>
      <w:r>
        <w:rPr>
          <w:rFonts w:hint="eastAsia" w:ascii="宋体" w:hAnsi="宋体" w:eastAsia="宋体" w:cs="Times New Roman"/>
          <w:color w:val="auto"/>
          <w:sz w:val="24"/>
          <w:szCs w:val="21"/>
          <w:highlight w:val="none"/>
        </w:rPr>
        <w:t xml:space="preserve">、其中</w:t>
      </w:r>
      <w:r>
        <w:rPr>
          <w:rFonts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 xml:space="preserve">（小型、微型企业/残疾人福利性单位/监狱企业全称）为</w:t>
      </w:r>
      <w:r>
        <w:rPr>
          <w:rFonts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 xml:space="preserve">（小型、微型企业/残疾人福利性单位/监狱企业）企业，且我们约定该公司/单位所承担的合同金额将占本项目合同总金额的</w:t>
      </w:r>
      <w:r>
        <w:rPr>
          <w:rFonts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u w:val="single"/>
        </w:rPr>
        <w:t xml:space="preserve">  </w:t>
      </w:r>
      <w:r>
        <w:rPr>
          <w:rFonts w:ascii="宋体" w:hAnsi="宋体" w:eastAsia="宋体" w:cs="Times New Roman"/>
          <w:color w:val="auto"/>
          <w:sz w:val="24"/>
          <w:szCs w:val="21"/>
          <w:highlight w:val="none"/>
          <w:u w:val="single"/>
        </w:rPr>
        <w:t xml:space="preserve"> </w:t>
      </w:r>
      <w:r>
        <w:rPr>
          <w:rFonts w:ascii="宋体" w:hAnsi="宋体" w:eastAsia="宋体" w:cs="Times New Roman"/>
          <w:color w:val="auto"/>
          <w:sz w:val="24"/>
          <w:szCs w:val="21"/>
          <w:highlight w:val="none"/>
        </w:rPr>
        <w:t xml:space="preserve">%</w:t>
      </w:r>
      <w:r>
        <w:rPr>
          <w:rFonts w:hint="eastAsia" w:ascii="宋体" w:hAnsi="宋体" w:eastAsia="宋体" w:cs="Times New Roman"/>
          <w:color w:val="auto"/>
          <w:sz w:val="24"/>
          <w:szCs w:val="21"/>
          <w:highlight w:val="none"/>
        </w:rPr>
        <w:t xml:space="preserve">。（可选）</w:t>
      </w:r>
      <w:r/>
    </w:p>
    <w:p>
      <w:pPr>
        <w:ind w:firstLine="480"/>
        <w:spacing w:line="500" w:lineRule="exact"/>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rPr>
        <w:t xml:space="preserve">                       </w:t>
      </w:r>
      <w:r/>
    </w:p>
    <w:p>
      <w:pPr>
        <w:ind w:firstLine="480"/>
        <w:spacing w:line="360" w:lineRule="auto"/>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供应商1全称（公章）：</w:t>
      </w:r>
      <w:r>
        <w:rPr>
          <w:rFonts w:ascii="宋体" w:hAnsi="宋体" w:eastAsia="宋体" w:cs="Times New Roman"/>
          <w:color w:val="auto"/>
          <w:sz w:val="24"/>
          <w:szCs w:val="21"/>
          <w:highlight w:val="none"/>
        </w:rPr>
        <w:t xml:space="preserve">     </w:t>
      </w:r>
      <w:r/>
    </w:p>
    <w:p>
      <w:pPr>
        <w:ind w:firstLine="480"/>
        <w:spacing w:line="360" w:lineRule="auto"/>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法定代表人</w:t>
      </w:r>
      <w:r>
        <w:rPr>
          <w:rFonts w:ascii="宋体" w:hAnsi="宋体" w:eastAsia="宋体" w:cs="Times New Roman"/>
          <w:color w:val="auto"/>
          <w:sz w:val="24"/>
          <w:szCs w:val="21"/>
          <w:highlight w:val="none"/>
        </w:rPr>
        <w:t xml:space="preserve">（单位负责人）</w:t>
      </w:r>
      <w:r>
        <w:rPr>
          <w:rFonts w:hint="eastAsia" w:ascii="宋体" w:hAnsi="宋体" w:eastAsia="宋体" w:cs="Times New Roman"/>
          <w:color w:val="auto"/>
          <w:sz w:val="24"/>
          <w:szCs w:val="21"/>
          <w:highlight w:val="none"/>
        </w:rPr>
        <w:t xml:space="preserve">或委托代理人（签字或盖章）：</w:t>
      </w:r>
      <w:r>
        <w:rPr>
          <w:rFonts w:ascii="宋体" w:hAnsi="宋体" w:eastAsia="宋体" w:cs="Times New Roman"/>
          <w:color w:val="auto"/>
          <w:sz w:val="24"/>
          <w:szCs w:val="21"/>
          <w:highlight w:val="none"/>
        </w:rPr>
        <w:t xml:space="preserve">  </w:t>
      </w:r>
      <w:r/>
    </w:p>
    <w:p>
      <w:pPr>
        <w:ind w:firstLine="480"/>
        <w:spacing w:line="360" w:lineRule="auto"/>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日期：     年   月   日</w:t>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供应商2全称（公章）：</w:t>
      </w:r>
      <w:r>
        <w:rPr>
          <w:rFonts w:ascii="宋体" w:hAnsi="宋体" w:eastAsia="宋体" w:cs="Times New Roman"/>
          <w:color w:val="auto"/>
          <w:sz w:val="24"/>
          <w:szCs w:val="21"/>
          <w:highlight w:val="none"/>
        </w:rPr>
        <w:t xml:space="preserve">     </w:t>
      </w:r>
      <w:r/>
    </w:p>
    <w:p>
      <w:pPr>
        <w:ind w:firstLine="480"/>
        <w:spacing w:line="360" w:lineRule="auto"/>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法定代表人</w:t>
      </w:r>
      <w:r>
        <w:rPr>
          <w:rFonts w:ascii="宋体" w:hAnsi="宋体" w:eastAsia="宋体" w:cs="Times New Roman"/>
          <w:color w:val="auto"/>
          <w:sz w:val="24"/>
          <w:szCs w:val="21"/>
          <w:highlight w:val="none"/>
        </w:rPr>
        <w:t xml:space="preserve">（单位负责人）</w:t>
      </w:r>
      <w:r>
        <w:rPr>
          <w:rFonts w:hint="eastAsia" w:ascii="宋体" w:hAnsi="宋体" w:eastAsia="宋体" w:cs="Times New Roman"/>
          <w:color w:val="auto"/>
          <w:sz w:val="24"/>
          <w:szCs w:val="21"/>
          <w:highlight w:val="none"/>
        </w:rPr>
        <w:t xml:space="preserve">或委托代理人（签字或盖章）：</w:t>
      </w:r>
      <w:r>
        <w:rPr>
          <w:rFonts w:ascii="宋体" w:hAnsi="宋体" w:eastAsia="宋体" w:cs="Times New Roman"/>
          <w:color w:val="auto"/>
          <w:sz w:val="24"/>
          <w:szCs w:val="21"/>
          <w:highlight w:val="none"/>
        </w:rPr>
        <w:t xml:space="preserve">  </w:t>
      </w:r>
      <w:r/>
    </w:p>
    <w:p>
      <w:pPr>
        <w:ind w:firstLine="480"/>
        <w:spacing w:line="360" w:lineRule="auto"/>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日期：     年   月   日</w:t>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w:t>
      </w:r>
      <w:r/>
    </w:p>
    <w:p>
      <w:pPr>
        <w:ind w:firstLine="480"/>
        <w:spacing w:line="500" w:lineRule="exact"/>
        <w:rPr>
          <w:color w:val="auto"/>
          <w:highlight w:val="none"/>
        </w:rPr>
      </w:pPr>
      <w:r>
        <w:rPr>
          <w:rFonts w:hint="eastAsia" w:ascii="宋体" w:hAnsi="宋体" w:eastAsia="宋体" w:cs="Times New Roman"/>
          <w:color w:val="auto"/>
          <w:sz w:val="24"/>
          <w:szCs w:val="21"/>
          <w:highlight w:val="none"/>
        </w:rPr>
        <w:t xml:space="preserve">备注：本招标文件中要求加盖公章的内容，仅需加盖牵头单位的公章。</w:t>
      </w:r>
      <w:r/>
    </w:p>
    <w:p>
      <w:pPr>
        <w:jc w:val="left"/>
        <w:keepLines/>
        <w:keepNext/>
        <w:spacing w:before="360" w:after="200" w:line="360" w:lineRule="auto"/>
        <w:rPr>
          <w:rFonts w:hint="eastAsia" w:ascii="Arial" w:hAnsi="Arial" w:eastAsia="宋体" w:cs="Arial"/>
          <w:i/>
          <w:iCs/>
          <w:color w:val="auto"/>
          <w:sz w:val="36"/>
          <w:highlight w:val="none"/>
          <w:u w:val="single"/>
        </w:rPr>
        <w:sectPr>
          <w:footnotePr/>
          <w:endnotePr/>
          <w:type w:val="nextPage"/>
          <w:pgSz w:w="11906" w:h="16838" w:orient="portrait"/>
          <w:pgMar w:top="1134" w:right="1134" w:bottom="1134" w:left="1134" w:header="720" w:footer="720" w:gutter="0"/>
          <w:pgNumType w:start="1"/>
          <w:cols w:num="1" w:sep="0" w:space="1701" w:equalWidth="1"/>
          <w:docGrid w:linePitch="360"/>
        </w:sectPr>
        <w:outlineLvl w:val="1"/>
      </w:pPr>
      <w:r>
        <w:rPr>
          <w:rFonts w:hint="eastAsia" w:ascii="Arial" w:hAnsi="Arial" w:eastAsia="宋体" w:cs="Arial"/>
          <w:i/>
          <w:iCs/>
          <w:color w:val="auto"/>
          <w:sz w:val="36"/>
          <w:highlight w:val="none"/>
          <w:u w:val="single"/>
        </w:rPr>
      </w:r>
      <w:r/>
    </w:p>
    <w:p>
      <w:pPr>
        <w:ind w:left="0" w:firstLine="0"/>
        <w:jc w:val="left"/>
        <w:keepLines/>
        <w:keepNext/>
        <w:spacing w:before="360" w:after="200" w:line="360" w:lineRule="auto"/>
        <w:rPr>
          <w:rFonts w:ascii="Arial" w:hAnsi="Arial" w:eastAsia="宋体" w:cs="Arial"/>
          <w:i w:val="0"/>
          <w:iCs w:val="0"/>
          <w:color w:val="auto"/>
          <w:sz w:val="36"/>
          <w:highlight w:val="none"/>
          <w:u w:val="none"/>
        </w:rPr>
        <w:outlineLvl w:val="1"/>
      </w:pPr>
      <w:r>
        <w:rPr>
          <w:rFonts w:hint="eastAsia" w:ascii="Arial" w:hAnsi="Arial" w:eastAsia="宋体" w:cs="Arial"/>
          <w:i w:val="0"/>
          <w:iCs w:val="0"/>
          <w:color w:val="auto"/>
          <w:sz w:val="36"/>
          <w:highlight w:val="none"/>
          <w:u w:val="none"/>
        </w:rPr>
        <w:t xml:space="preserve">十四、投标分项报价表</w:t>
      </w:r>
      <w:r/>
    </w:p>
    <w:p>
      <w:pPr>
        <w:jc w:val="center"/>
        <w:spacing w:line="360" w:lineRule="auto"/>
        <w:tabs>
          <w:tab w:val="left" w:pos="360" w:leader="none"/>
        </w:tabs>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投标分项报价表</w:t>
      </w:r>
      <w:r/>
    </w:p>
    <w:p>
      <w:pPr>
        <w:jc w:val="left"/>
        <w:spacing w:line="360" w:lineRule="auto"/>
        <w:rPr>
          <w:rFonts w:ascii="宋体" w:hAnsi="宋体" w:eastAsia="宋体" w:cs="Times New Roman"/>
          <w:bCs/>
          <w:color w:val="auto"/>
          <w:sz w:val="24"/>
          <w:szCs w:val="24"/>
          <w:highlight w:val="none"/>
        </w:rPr>
      </w:pPr>
      <w:r>
        <w:rPr>
          <w:rFonts w:hint="eastAsia" w:ascii="宋体" w:hAnsi="宋体" w:eastAsia="宋体" w:cs="方正仿宋_GBK"/>
          <w:color w:val="auto"/>
          <w:sz w:val="24"/>
          <w:szCs w:val="24"/>
          <w:highlight w:val="none"/>
        </w:rPr>
        <w:t xml:space="preserve">项目名称：      项目编号：    </w:t>
      </w:r>
      <w:r>
        <w:rPr>
          <w:rFonts w:ascii="宋体" w:hAnsi="宋体" w:eastAsia="宋体" w:cs="Times New Roman"/>
          <w:bCs/>
          <w:color w:val="auto"/>
          <w:sz w:val="24"/>
          <w:szCs w:val="24"/>
          <w:highlight w:val="none"/>
        </w:rPr>
        <w:t xml:space="preserve"> </w:t>
      </w:r>
      <w:r/>
    </w:p>
    <w:p>
      <w:pPr>
        <w:jc w:val="right"/>
        <w:spacing w:line="360" w:lineRule="auto"/>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单位：元</w:t>
      </w:r>
      <w:r/>
    </w:p>
    <w:tbl>
      <w:tblPr>
        <w:tblStyle w:val="844"/>
        <w:tblW w:w="91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8"/>
        <w:gridCol w:w="1177"/>
        <w:gridCol w:w="663"/>
        <w:gridCol w:w="794"/>
        <w:gridCol w:w="701"/>
        <w:gridCol w:w="607"/>
        <w:gridCol w:w="513"/>
        <w:gridCol w:w="701"/>
        <w:gridCol w:w="701"/>
        <w:gridCol w:w="1120"/>
        <w:gridCol w:w="1653"/>
      </w:tblGrid>
      <w:tr>
        <w:trPr>
          <w:jc w:val="center"/>
          <w:trHeight w:val="663"/>
        </w:trPr>
        <w:tc>
          <w:tcPr>
            <w:tcW w:w="548" w:type="dxa"/>
            <w:vAlign w:val="center"/>
            <w:textDirection w:val="lrTb"/>
            <w:noWrap/>
          </w:tcPr>
          <w:p>
            <w:pPr>
              <w:ind w:left="0" w:firstLine="0"/>
              <w:jc w:val="both"/>
              <w:spacing w:line="360" w:lineRule="auto"/>
              <w:widowControl/>
              <w:rPr>
                <w:rFonts w:ascii="Times New Roman" w:hAnsi="Times New Roman" w:eastAsia="宋体" w:cs="Times New Roman"/>
                <w:bCs/>
                <w:color w:val="auto"/>
                <w:szCs w:val="24"/>
                <w:highlight w:val="none"/>
              </w:rPr>
            </w:pPr>
            <w:r>
              <w:rPr>
                <w:rFonts w:ascii="Times New Roman" w:hAnsi="Times New Roman" w:eastAsia="宋体" w:cs="Times New Roman"/>
                <w:bCs/>
                <w:color w:val="auto"/>
                <w:szCs w:val="24"/>
                <w:highlight w:val="none"/>
              </w:rPr>
              <w:t xml:space="preserve">序号</w:t>
            </w:r>
            <w:r/>
          </w:p>
        </w:tc>
        <w:tc>
          <w:tcPr>
            <w:tcW w:w="1177" w:type="dxa"/>
            <w:vAlign w:val="center"/>
            <w:textDirection w:val="lrTb"/>
            <w:noWrap w:val="false"/>
          </w:tcPr>
          <w:p>
            <w:pPr>
              <w:ind w:left="0" w:firstLine="0"/>
              <w:jc w:val="both"/>
              <w:spacing w:line="360" w:lineRule="auto"/>
              <w:widowControl/>
              <w:rPr>
                <w:rFonts w:ascii="Times New Roman" w:hAnsi="Times New Roman" w:eastAsia="宋体" w:cs="Times New Roman"/>
                <w:bCs/>
                <w:color w:val="auto"/>
                <w:szCs w:val="24"/>
                <w:highlight w:val="none"/>
              </w:rPr>
            </w:pPr>
            <w:r>
              <w:rPr>
                <w:rFonts w:ascii="Times New Roman" w:hAnsi="Times New Roman" w:eastAsia="宋体" w:cs="Times New Roman"/>
                <w:bCs/>
                <w:color w:val="auto"/>
                <w:szCs w:val="24"/>
                <w:highlight w:val="none"/>
              </w:rPr>
              <w:t xml:space="preserve">货物（标的）名称</w:t>
            </w:r>
            <w:r/>
          </w:p>
        </w:tc>
        <w:tc>
          <w:tcPr>
            <w:tcW w:w="663" w:type="dxa"/>
            <w:vAlign w:val="center"/>
            <w:textDirection w:val="lrTb"/>
            <w:noWrap w:val="false"/>
          </w:tcPr>
          <w:p>
            <w:pPr>
              <w:ind w:left="0" w:firstLine="0"/>
              <w:jc w:val="both"/>
              <w:spacing w:line="360" w:lineRule="auto"/>
              <w:widowControl/>
              <w:rPr>
                <w:rFonts w:ascii="Times New Roman" w:hAnsi="Times New Roman" w:eastAsia="宋体" w:cs="Times New Roman"/>
                <w:bCs/>
                <w:color w:val="auto"/>
                <w:szCs w:val="24"/>
                <w:highlight w:val="none"/>
              </w:rPr>
            </w:pPr>
            <w:r>
              <w:rPr>
                <w:rFonts w:ascii="Times New Roman" w:hAnsi="Times New Roman" w:eastAsia="宋体" w:cs="Times New Roman"/>
                <w:bCs/>
                <w:color w:val="auto"/>
                <w:szCs w:val="24"/>
                <w:highlight w:val="none"/>
              </w:rPr>
              <w:t xml:space="preserve">品牌</w:t>
            </w:r>
            <w:r/>
          </w:p>
        </w:tc>
        <w:tc>
          <w:tcPr>
            <w:tcW w:w="794" w:type="dxa"/>
            <w:vAlign w:val="center"/>
            <w:textDirection w:val="lrTb"/>
            <w:noWrap w:val="false"/>
          </w:tcPr>
          <w:p>
            <w:pPr>
              <w:ind w:left="0" w:firstLine="0"/>
              <w:jc w:val="both"/>
              <w:spacing w:line="360" w:lineRule="auto"/>
              <w:widowControl/>
              <w:rPr>
                <w:rFonts w:ascii="Times New Roman" w:hAnsi="Times New Roman" w:eastAsia="宋体" w:cs="Times New Roman"/>
                <w:bCs/>
                <w:color w:val="auto"/>
                <w:szCs w:val="24"/>
                <w:highlight w:val="none"/>
              </w:rPr>
            </w:pPr>
            <w:r>
              <w:rPr>
                <w:rFonts w:ascii="Times New Roman" w:hAnsi="Times New Roman" w:eastAsia="宋体" w:cs="Times New Roman"/>
                <w:bCs/>
                <w:color w:val="auto"/>
                <w:szCs w:val="24"/>
                <w:highlight w:val="none"/>
              </w:rPr>
              <w:t xml:space="preserve">规格型号</w:t>
            </w:r>
            <w:r/>
          </w:p>
        </w:tc>
        <w:tc>
          <w:tcPr>
            <w:tcW w:w="701" w:type="dxa"/>
            <w:vAlign w:val="center"/>
            <w:textDirection w:val="lrTb"/>
            <w:noWrap w:val="false"/>
          </w:tcPr>
          <w:p>
            <w:pPr>
              <w:ind w:left="0" w:firstLine="0"/>
              <w:jc w:val="both"/>
              <w:spacing w:line="360" w:lineRule="auto"/>
              <w:widowControl/>
              <w:rPr>
                <w:rFonts w:ascii="Times New Roman" w:hAnsi="Times New Roman" w:eastAsia="宋体" w:cs="Times New Roman"/>
                <w:bCs/>
                <w:color w:val="auto"/>
                <w:szCs w:val="24"/>
                <w:highlight w:val="none"/>
              </w:rPr>
            </w:pPr>
            <w:r>
              <w:rPr>
                <w:rFonts w:ascii="Times New Roman" w:hAnsi="Times New Roman" w:eastAsia="宋体" w:cs="Times New Roman"/>
                <w:bCs/>
                <w:color w:val="auto"/>
                <w:szCs w:val="24"/>
                <w:highlight w:val="none"/>
              </w:rPr>
              <w:t xml:space="preserve">制造商</w:t>
            </w:r>
            <w:r/>
          </w:p>
        </w:tc>
        <w:tc>
          <w:tcPr>
            <w:gridSpan w:val="2"/>
            <w:tcW w:w="1120" w:type="dxa"/>
            <w:vAlign w:val="center"/>
            <w:textDirection w:val="lrTb"/>
            <w:noWrap w:val="false"/>
          </w:tcPr>
          <w:p>
            <w:pPr>
              <w:ind w:left="0" w:firstLine="0"/>
              <w:jc w:val="both"/>
              <w:spacing w:line="360" w:lineRule="auto"/>
              <w:widowControl/>
              <w:rPr>
                <w:rFonts w:ascii="Times New Roman" w:hAnsi="Times New Roman" w:eastAsia="宋体" w:cs="Times New Roman"/>
                <w:bCs/>
                <w:color w:val="auto"/>
                <w:szCs w:val="24"/>
                <w:highlight w:val="none"/>
              </w:rPr>
            </w:pPr>
            <w:r>
              <w:rPr>
                <w:rFonts w:ascii="Times New Roman" w:hAnsi="Times New Roman" w:eastAsia="宋体" w:cs="Times New Roman"/>
                <w:bCs/>
                <w:color w:val="auto"/>
                <w:szCs w:val="24"/>
                <w:highlight w:val="none"/>
              </w:rPr>
              <w:t xml:space="preserve">制造商企业类型</w:t>
            </w:r>
            <w:r/>
          </w:p>
        </w:tc>
        <w:tc>
          <w:tcPr>
            <w:tcW w:w="701" w:type="dxa"/>
            <w:vAlign w:val="center"/>
            <w:textDirection w:val="lrTb"/>
            <w:noWrap w:val="false"/>
          </w:tcPr>
          <w:p>
            <w:pPr>
              <w:ind w:left="0" w:firstLine="0"/>
              <w:jc w:val="both"/>
              <w:spacing w:line="360" w:lineRule="auto"/>
              <w:widowControl/>
              <w:rPr>
                <w:rFonts w:ascii="Times New Roman" w:hAnsi="Times New Roman" w:eastAsia="宋体" w:cs="Times New Roman"/>
                <w:bCs/>
                <w:color w:val="auto"/>
                <w:szCs w:val="24"/>
                <w:highlight w:val="none"/>
              </w:rPr>
            </w:pPr>
            <w:r>
              <w:rPr>
                <w:rFonts w:ascii="Times New Roman" w:hAnsi="Times New Roman" w:eastAsia="宋体" w:cs="Times New Roman"/>
                <w:bCs/>
                <w:color w:val="auto"/>
                <w:szCs w:val="24"/>
                <w:highlight w:val="none"/>
              </w:rPr>
              <w:t xml:space="preserve">单价</w:t>
            </w:r>
            <w:r/>
          </w:p>
        </w:tc>
        <w:tc>
          <w:tcPr>
            <w:tcW w:w="701" w:type="dxa"/>
            <w:vAlign w:val="center"/>
            <w:textDirection w:val="lrTb"/>
            <w:noWrap w:val="false"/>
          </w:tcPr>
          <w:p>
            <w:pPr>
              <w:ind w:left="0" w:firstLine="0"/>
              <w:jc w:val="both"/>
              <w:spacing w:line="360" w:lineRule="auto"/>
              <w:widowControl/>
              <w:rPr>
                <w:rFonts w:ascii="Times New Roman" w:hAnsi="Times New Roman" w:eastAsia="宋体" w:cs="Times New Roman"/>
                <w:bCs/>
                <w:color w:val="auto"/>
                <w:szCs w:val="24"/>
                <w:highlight w:val="none"/>
              </w:rPr>
            </w:pPr>
            <w:r>
              <w:rPr>
                <w:rFonts w:ascii="Times New Roman" w:hAnsi="Times New Roman" w:eastAsia="宋体" w:cs="Times New Roman"/>
                <w:bCs/>
                <w:color w:val="auto"/>
                <w:szCs w:val="24"/>
                <w:highlight w:val="none"/>
              </w:rPr>
              <w:t xml:space="preserve">数量</w:t>
            </w:r>
            <w:r/>
          </w:p>
        </w:tc>
        <w:tc>
          <w:tcPr>
            <w:tcW w:w="1120" w:type="dxa"/>
            <w:vAlign w:val="center"/>
            <w:textDirection w:val="lrTb"/>
            <w:noWrap w:val="false"/>
          </w:tcPr>
          <w:p>
            <w:pPr>
              <w:ind w:left="0" w:firstLine="0"/>
              <w:jc w:val="both"/>
              <w:spacing w:line="360" w:lineRule="auto"/>
              <w:widowControl/>
              <w:rPr>
                <w:rFonts w:ascii="Times New Roman" w:hAnsi="Times New Roman" w:eastAsia="宋体" w:cs="Times New Roman"/>
                <w:bCs/>
                <w:color w:val="auto"/>
                <w:szCs w:val="24"/>
                <w:highlight w:val="none"/>
              </w:rPr>
            </w:pPr>
            <w:r>
              <w:rPr>
                <w:rFonts w:ascii="Times New Roman" w:hAnsi="Times New Roman" w:eastAsia="宋体" w:cs="Times New Roman"/>
                <w:bCs/>
                <w:color w:val="auto"/>
                <w:szCs w:val="24"/>
                <w:highlight w:val="none"/>
              </w:rPr>
              <w:t xml:space="preserve">计量单位</w:t>
            </w:r>
            <w:r/>
          </w:p>
        </w:tc>
        <w:tc>
          <w:tcPr>
            <w:tcW w:w="1653" w:type="dxa"/>
            <w:vAlign w:val="center"/>
            <w:textDirection w:val="lrTb"/>
            <w:noWrap w:val="false"/>
          </w:tcPr>
          <w:p>
            <w:pPr>
              <w:ind w:left="0" w:firstLine="0"/>
              <w:jc w:val="both"/>
              <w:spacing w:line="360" w:lineRule="auto"/>
              <w:widowControl/>
              <w:rPr>
                <w:rFonts w:ascii="Times New Roman" w:hAnsi="Times New Roman" w:eastAsia="宋体" w:cs="Times New Roman"/>
                <w:bCs/>
                <w:color w:val="auto"/>
                <w:szCs w:val="24"/>
                <w:highlight w:val="none"/>
              </w:rPr>
            </w:pPr>
            <w:r>
              <w:rPr>
                <w:rFonts w:ascii="Times New Roman" w:hAnsi="Times New Roman" w:eastAsia="宋体" w:cs="Times New Roman"/>
                <w:bCs/>
                <w:color w:val="auto"/>
                <w:szCs w:val="24"/>
                <w:highlight w:val="none"/>
              </w:rPr>
              <w:t xml:space="preserve">单项合计价</w:t>
            </w:r>
            <w:r/>
          </w:p>
        </w:tc>
      </w:tr>
      <w:tr>
        <w:trPr>
          <w:jc w:val="center"/>
          <w:trHeight w:val="581"/>
        </w:trPr>
        <w:tc>
          <w:tcPr>
            <w:tcW w:w="548" w:type="dxa"/>
            <w:vAlign w:val="center"/>
            <w:textDirection w:val="lrTb"/>
            <w:noWrap/>
          </w:tcPr>
          <w:p>
            <w:pPr>
              <w:jc w:val="center"/>
              <w:spacing w:line="360" w:lineRule="auto"/>
              <w:widowControl/>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1</w:t>
            </w:r>
            <w:r/>
          </w:p>
        </w:tc>
        <w:tc>
          <w:tcPr>
            <w:tcW w:w="1177"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663"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794"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701"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gridSpan w:val="2"/>
            <w:tcW w:w="1120"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701" w:type="dxa"/>
            <w:vAlign w:val="center"/>
            <w:textDirection w:val="lrTb"/>
            <w:noWrap w:val="false"/>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701"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1120"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1653"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r>
      <w:tr>
        <w:trPr>
          <w:jc w:val="center"/>
          <w:trHeight w:val="548"/>
        </w:trPr>
        <w:tc>
          <w:tcPr>
            <w:tcW w:w="548" w:type="dxa"/>
            <w:vAlign w:val="center"/>
            <w:textDirection w:val="lrTb"/>
            <w:noWrap/>
          </w:tcPr>
          <w:p>
            <w:pPr>
              <w:jc w:val="center"/>
              <w:spacing w:line="360" w:lineRule="auto"/>
              <w:widowControl/>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2</w:t>
            </w:r>
            <w:r/>
          </w:p>
        </w:tc>
        <w:tc>
          <w:tcPr>
            <w:tcW w:w="1177"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663"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794"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701"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gridSpan w:val="2"/>
            <w:tcW w:w="1120"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701" w:type="dxa"/>
            <w:vAlign w:val="center"/>
            <w:textDirection w:val="lrTb"/>
            <w:noWrap w:val="false"/>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701"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1120"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1653"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r>
      <w:tr>
        <w:trPr>
          <w:jc w:val="center"/>
          <w:trHeight w:val="551"/>
        </w:trPr>
        <w:tc>
          <w:tcPr>
            <w:tcW w:w="548" w:type="dxa"/>
            <w:vAlign w:val="center"/>
            <w:textDirection w:val="lrTb"/>
            <w:noWrap/>
          </w:tcPr>
          <w:p>
            <w:pPr>
              <w:jc w:val="center"/>
              <w:spacing w:line="360" w:lineRule="auto"/>
              <w:widowControl/>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3</w:t>
            </w:r>
            <w:r/>
          </w:p>
        </w:tc>
        <w:tc>
          <w:tcPr>
            <w:tcW w:w="1177"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663"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794"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701"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gridSpan w:val="2"/>
            <w:tcW w:w="1120"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701" w:type="dxa"/>
            <w:vAlign w:val="center"/>
            <w:textDirection w:val="lrTb"/>
            <w:noWrap w:val="false"/>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701"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1120"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1653"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r>
      <w:tr>
        <w:trPr>
          <w:jc w:val="center"/>
          <w:trHeight w:val="547"/>
        </w:trPr>
        <w:tc>
          <w:tcPr>
            <w:tcW w:w="548" w:type="dxa"/>
            <w:vAlign w:val="center"/>
            <w:textDirection w:val="lrTb"/>
            <w:noWrap/>
          </w:tcPr>
          <w:p>
            <w:pPr>
              <w:jc w:val="cente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t xml:space="preserve">…</w:t>
            </w:r>
            <w:r/>
          </w:p>
        </w:tc>
        <w:tc>
          <w:tcPr>
            <w:tcW w:w="1177"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663"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794"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701"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gridSpan w:val="2"/>
            <w:tcW w:w="1120"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701"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701"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1120"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1653"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r>
      <w:tr>
        <w:trPr>
          <w:jc w:val="center"/>
          <w:trHeight w:val="567"/>
        </w:trPr>
        <w:tc>
          <w:tcPr>
            <w:gridSpan w:val="6"/>
            <w:tcW w:w="4490" w:type="dxa"/>
            <w:vAlign w:val="center"/>
            <w:textDirection w:val="lrTb"/>
            <w:noWrap/>
          </w:tcPr>
          <w:p>
            <w:pPr>
              <w:jc w:val="center"/>
              <w:spacing w:line="360" w:lineRule="auto"/>
              <w:widowControl/>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总计（元）</w:t>
            </w:r>
            <w:r/>
          </w:p>
        </w:tc>
        <w:tc>
          <w:tcPr>
            <w:gridSpan w:val="5"/>
            <w:tcW w:w="4688" w:type="dxa"/>
            <w:vAlign w:val="center"/>
            <w:textDirection w:val="lrTb"/>
            <w:noWrap w:val="false"/>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r>
    </w:tbl>
    <w:p>
      <w:pPr>
        <w:ind w:firstLine="420"/>
        <w:spacing w:line="360" w:lineRule="auto"/>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ind w:firstLine="420"/>
        <w:spacing w:line="360" w:lineRule="auto"/>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投标人（盖章）：</w:t>
      </w:r>
      <w:r/>
    </w:p>
    <w:p>
      <w:pPr>
        <w:ind w:firstLine="420"/>
        <w:spacing w:line="360" w:lineRule="auto"/>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法定代表人</w:t>
      </w:r>
      <w:r>
        <w:rPr>
          <w:rFonts w:ascii="Times New Roman" w:hAnsi="Times New Roman" w:eastAsia="宋体" w:cs="Times New Roman"/>
          <w:color w:val="auto"/>
          <w:szCs w:val="24"/>
          <w:highlight w:val="none"/>
        </w:rPr>
        <w:t xml:space="preserve">（单位负责人）</w:t>
      </w:r>
      <w:r>
        <w:rPr>
          <w:rFonts w:hint="eastAsia" w:ascii="Times New Roman" w:hAnsi="Times New Roman" w:eastAsia="宋体" w:cs="Times New Roman"/>
          <w:color w:val="auto"/>
          <w:szCs w:val="24"/>
          <w:highlight w:val="none"/>
        </w:rPr>
        <w:t xml:space="preserve">或委托代理人（签字或盖章）：</w:t>
      </w:r>
      <w:r/>
    </w:p>
    <w:p>
      <w:pPr>
        <w:ind w:firstLine="420"/>
        <w:spacing w:line="360" w:lineRule="auto"/>
        <w:rPr>
          <w:rFonts w:ascii="宋体" w:hAnsi="宋体" w:eastAsia="宋体" w:cs="Times New Roman"/>
          <w:color w:val="auto"/>
          <w:szCs w:val="24"/>
          <w:highlight w:val="none"/>
        </w:rPr>
      </w:pPr>
      <w:r>
        <w:rPr>
          <w:rFonts w:hint="eastAsia" w:ascii="Times New Roman" w:hAnsi="Times New Roman" w:eastAsia="宋体" w:cs="Times New Roman"/>
          <w:color w:val="auto"/>
          <w:szCs w:val="24"/>
          <w:highlight w:val="none"/>
        </w:rPr>
        <w:t xml:space="preserve">日期：    年     月     日</w:t>
      </w:r>
      <w:r/>
    </w:p>
    <w:p>
      <w:pPr>
        <w:spacing w:line="360" w:lineRule="auto"/>
        <w:rPr>
          <w:rFonts w:ascii="宋体" w:hAnsi="宋体" w:eastAsia="宋体" w:cs="Times New Roman"/>
          <w:color w:val="auto"/>
          <w:szCs w:val="20"/>
          <w:highlight w:val="none"/>
        </w:rPr>
      </w:pPr>
      <w:r>
        <w:rPr>
          <w:rFonts w:ascii="宋体" w:hAnsi="宋体" w:eastAsia="宋体" w:cs="Times New Roman"/>
          <w:color w:val="auto"/>
          <w:szCs w:val="20"/>
          <w:highlight w:val="none"/>
        </w:rPr>
      </w:r>
      <w:r/>
    </w:p>
    <w:p>
      <w:pPr>
        <w:spacing w:line="360" w:lineRule="auto"/>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填报说明：</w:t>
      </w:r>
      <w:r/>
    </w:p>
    <w:p>
      <w:pPr>
        <w:ind w:firstLine="420"/>
        <w:spacing w:line="360" w:lineRule="auto"/>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1、“制造商企业类型”栏填写内容为“大型”“中型”“小型”“微型”“监狱企业”或“残疾人福利性单位”。</w:t>
      </w:r>
      <w:r/>
    </w:p>
    <w:p>
      <w:pPr>
        <w:ind w:firstLine="420"/>
        <w:spacing w:line="360" w:lineRule="auto"/>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2、以上报价包含货物费用、运杂费、安装施工费、集成费、税金和其他费用。</w:t>
      </w:r>
      <w:r/>
    </w:p>
    <w:p>
      <w:pPr>
        <w:ind w:firstLine="420"/>
        <w:spacing w:line="360" w:lineRule="auto"/>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3、请供应商如实、正确填写本表，所填内容将作为评审的依据，其内容应与对应的证明资料相符。</w:t>
      </w:r>
      <w:r/>
    </w:p>
    <w:p>
      <w:pPr>
        <w:ind w:firstLine="420"/>
        <w:spacing w:line="500" w:lineRule="exact"/>
        <w:rPr>
          <w:rFonts w:ascii="Times New Roman" w:hAnsi="宋体" w:eastAsia="宋体" w:cs="Times New Roman"/>
          <w:color w:val="auto"/>
          <w:szCs w:val="24"/>
          <w:highlight w:val="none"/>
        </w:rPr>
      </w:pPr>
      <w:r>
        <w:rPr>
          <w:rFonts w:hint="eastAsia" w:ascii="Times New Roman" w:hAnsi="宋体" w:eastAsia="宋体" w:cs="Times New Roman"/>
          <w:color w:val="auto"/>
          <w:szCs w:val="24"/>
          <w:highlight w:val="none"/>
        </w:rPr>
        <w:t xml:space="preserve">4、行数或事项不够，可自行增加。</w:t>
      </w:r>
      <w:r/>
    </w:p>
    <w:p>
      <w:pPr>
        <w:rPr>
          <w:color w:val="auto"/>
          <w:highlight w:val="none"/>
        </w:rPr>
      </w:pPr>
      <w:r>
        <w:rPr>
          <w:color w:val="auto"/>
          <w:highlight w:val="none"/>
        </w:rPr>
      </w:r>
      <w:r/>
    </w:p>
    <w:p>
      <w:pPr>
        <w:ind w:left="0" w:firstLine="0"/>
        <w:jc w:val="left"/>
        <w:keepLines/>
        <w:keepNext/>
        <w:spacing w:before="360" w:after="200" w:line="360" w:lineRule="auto"/>
        <w:rPr>
          <w:rFonts w:hint="eastAsia" w:ascii="Arial" w:hAnsi="Arial" w:eastAsia="宋体" w:cs="Arial"/>
          <w:i/>
          <w:iCs/>
          <w:color w:val="auto"/>
          <w:sz w:val="36"/>
          <w:highlight w:val="none"/>
          <w:u w:val="single"/>
        </w:rPr>
        <w:sectPr>
          <w:footnotePr/>
          <w:endnotePr/>
          <w:type w:val="nextPage"/>
          <w:pgSz w:w="11906" w:h="16838" w:orient="portrait"/>
          <w:pgMar w:top="1134" w:right="1134" w:bottom="1134" w:left="1134" w:header="720" w:footer="720" w:gutter="0"/>
          <w:pgNumType w:start="1"/>
          <w:cols w:num="1" w:sep="0" w:space="1701" w:equalWidth="1"/>
          <w:docGrid w:linePitch="360"/>
        </w:sectPr>
        <w:outlineLvl w:val="1"/>
      </w:pPr>
      <w:r>
        <w:rPr>
          <w:rFonts w:hint="eastAsia" w:ascii="Arial" w:hAnsi="Arial" w:eastAsia="宋体" w:cs="Arial"/>
          <w:i/>
          <w:iCs/>
          <w:color w:val="auto"/>
          <w:sz w:val="36"/>
          <w:highlight w:val="none"/>
          <w:u w:val="single"/>
        </w:rPr>
      </w:r>
      <w:r/>
    </w:p>
    <w:p>
      <w:pPr>
        <w:ind w:left="0" w:firstLine="0"/>
        <w:jc w:val="left"/>
        <w:keepLines/>
        <w:keepNext/>
        <w:spacing w:before="360" w:after="200" w:line="360" w:lineRule="auto"/>
        <w:rPr>
          <w:rFonts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t xml:space="preserve">十五、技术要求响应及偏离表</w:t>
      </w:r>
      <w:r/>
    </w:p>
    <w:p>
      <w:pPr>
        <w:jc w:val="center"/>
        <w:spacing w:line="360" w:lineRule="auto"/>
        <w:tabs>
          <w:tab w:val="left" w:pos="360" w:leader="none"/>
        </w:tabs>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技术要求响应及偏离表</w:t>
      </w:r>
      <w:r/>
    </w:p>
    <w:p>
      <w:pPr>
        <w:jc w:val="left"/>
        <w:spacing w:line="360" w:lineRule="auto"/>
        <w:rPr>
          <w:rFonts w:ascii="Arial" w:hAnsi="Arial" w:eastAsia="宋体" w:cs="Arial"/>
          <w:color w:val="auto"/>
          <w:sz w:val="36"/>
          <w:highlight w:val="none"/>
        </w:rPr>
      </w:pPr>
      <w:r>
        <w:rPr>
          <w:rFonts w:hint="eastAsia" w:ascii="宋体" w:hAnsi="宋体" w:eastAsia="宋体" w:cs="方正仿宋_GBK"/>
          <w:color w:val="auto"/>
          <w:sz w:val="24"/>
          <w:szCs w:val="24"/>
          <w:highlight w:val="none"/>
        </w:rPr>
        <w:t xml:space="preserve">项目名称：      项目编号：      </w:t>
      </w:r>
      <w:r>
        <w:rPr>
          <w:rFonts w:ascii="宋体" w:hAnsi="宋体" w:eastAsia="宋体" w:cs="Times New Roman"/>
          <w:bCs/>
          <w:color w:val="auto"/>
          <w:sz w:val="24"/>
          <w:szCs w:val="24"/>
          <w:highlight w:val="none"/>
        </w:rPr>
        <w:t xml:space="preserve"> </w:t>
      </w:r>
      <w:r/>
    </w:p>
    <w:tbl>
      <w:tblPr>
        <w:tblStyle w:val="844"/>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ind w:left="0" w:firstLine="0"/>
              <w:jc w:val="both"/>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序号</w:t>
            </w:r>
            <w:r/>
          </w:p>
        </w:tc>
        <w:tc>
          <w:tcPr>
            <w:tcW w:w="3273"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招标文件要求</w:t>
            </w:r>
            <w:r/>
          </w:p>
        </w:tc>
        <w:tc>
          <w:tcPr>
            <w:tcW w:w="3024"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投标响应情况</w:t>
            </w:r>
            <w:r/>
          </w:p>
        </w:tc>
        <w:tc>
          <w:tcPr>
            <w:tcW w:w="1399" w:type="dxa"/>
            <w:vAlign w:val="center"/>
            <w:textDirection w:val="lrTb"/>
            <w:noWrap w:val="false"/>
          </w:tcPr>
          <w:p>
            <w:pPr>
              <w:ind w:left="0" w:firstLine="0"/>
              <w:jc w:val="both"/>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超出、符合或偏离</w:t>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p>
        </w:tc>
        <w:tc>
          <w:tcPr>
            <w:tcW w:w="327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2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9"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p>
        </w:tc>
        <w:tc>
          <w:tcPr>
            <w:tcW w:w="327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2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9"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p>
        </w:tc>
        <w:tc>
          <w:tcPr>
            <w:tcW w:w="327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2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9"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w:t>
            </w:r>
            <w:r/>
          </w:p>
        </w:tc>
        <w:tc>
          <w:tcPr>
            <w:tcW w:w="327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2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9"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bl>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Times New Roman" w:hAnsi="Times New Roman" w:eastAsia="宋体" w:cs="Times New Roman"/>
          <w:color w:val="auto"/>
          <w:sz w:val="24"/>
          <w:szCs w:val="24"/>
          <w:highlight w:val="none"/>
        </w:rPr>
        <w:t xml:space="preserve">或委托代理人（签字或盖章）：</w:t>
      </w:r>
      <w:r/>
    </w:p>
    <w:p>
      <w:pPr>
        <w:ind w:firstLine="480"/>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rPr>
          <w:color w:val="auto"/>
          <w:highlight w:val="none"/>
        </w:rPr>
      </w:pPr>
      <w:r>
        <w:rPr>
          <w:color w:val="auto"/>
          <w:highlight w:val="none"/>
        </w:rPr>
      </w:r>
      <w:r/>
    </w:p>
    <w:p>
      <w:pPr>
        <w:ind w:left="0" w:firstLine="0"/>
        <w:jc w:val="left"/>
        <w:keepLines/>
        <w:keepNext/>
        <w:spacing w:before="360" w:after="200" w:line="360" w:lineRule="auto"/>
        <w:rPr>
          <w:rFonts w:hint="eastAsia" w:ascii="Arial" w:hAnsi="Arial" w:eastAsia="宋体" w:cs="Arial"/>
          <w:i/>
          <w:iCs/>
          <w:color w:val="auto"/>
          <w:sz w:val="36"/>
          <w:highlight w:val="none"/>
          <w:u w:val="single"/>
        </w:rPr>
        <w:sectPr>
          <w:footnotePr/>
          <w:endnotePr/>
          <w:type w:val="nextPage"/>
          <w:pgSz w:w="11906" w:h="16838" w:orient="portrait"/>
          <w:pgMar w:top="1134" w:right="1134" w:bottom="1134" w:left="1134" w:header="720" w:footer="720" w:gutter="0"/>
          <w:pgNumType w:start="1"/>
          <w:cols w:num="1" w:sep="0" w:space="1701" w:equalWidth="1"/>
          <w:docGrid w:linePitch="360"/>
        </w:sectPr>
        <w:outlineLvl w:val="1"/>
      </w:pPr>
      <w:r/>
      <w:bookmarkStart w:id="19" w:name="_Hlt26955054"/>
      <w:r/>
      <w:bookmarkEnd w:id="19"/>
      <w:r/>
      <w:r/>
    </w:p>
    <w:p>
      <w:pPr>
        <w:ind w:left="0" w:firstLine="0"/>
        <w:jc w:val="left"/>
        <w:keepLines/>
        <w:keepNext/>
        <w:spacing w:before="360" w:after="200" w:line="360" w:lineRule="auto"/>
        <w:rPr>
          <w:rFonts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t xml:space="preserve">十六、商务要求响应及偏离表</w:t>
      </w:r>
      <w:r/>
    </w:p>
    <w:p>
      <w:pPr>
        <w:jc w:val="center"/>
        <w:spacing w:line="360" w:lineRule="auto"/>
        <w:tabs>
          <w:tab w:val="left" w:pos="360" w:leader="none"/>
        </w:tabs>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商务要求响应及偏离表</w:t>
      </w:r>
      <w:r/>
    </w:p>
    <w:p>
      <w:pPr>
        <w:jc w:val="left"/>
        <w:spacing w:line="360" w:lineRule="auto"/>
        <w:rPr>
          <w:color w:val="auto"/>
          <w:highlight w:val="none"/>
        </w:rPr>
      </w:pPr>
      <w:r>
        <w:rPr>
          <w:rFonts w:hint="eastAsia" w:ascii="宋体" w:hAnsi="宋体" w:eastAsia="宋体" w:cs="方正仿宋_GBK"/>
          <w:color w:val="auto"/>
          <w:sz w:val="24"/>
          <w:szCs w:val="24"/>
          <w:highlight w:val="none"/>
        </w:rPr>
        <w:t xml:space="preserve">项目名称：      项目编号：     </w:t>
      </w:r>
      <w:r>
        <w:rPr>
          <w:rFonts w:ascii="宋体" w:hAnsi="宋体" w:eastAsia="宋体" w:cs="Times New Roman"/>
          <w:bCs/>
          <w:color w:val="auto"/>
          <w:sz w:val="24"/>
          <w:szCs w:val="24"/>
          <w:highlight w:val="none"/>
        </w:rPr>
        <w:t xml:space="preserve"> </w:t>
      </w:r>
      <w:r/>
    </w:p>
    <w:tbl>
      <w:tblPr>
        <w:tblStyle w:val="844"/>
        <w:tblW w:w="981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2705"/>
      </w:tblGrid>
      <w:tr>
        <w:trPr>
          <w:cantSplit/>
          <w:trHeight w:val="738"/>
        </w:trPr>
        <w:tc>
          <w:tcPr>
            <w:tcW w:w="817" w:type="dxa"/>
            <w:vAlign w:val="center"/>
            <w:textDirection w:val="lrTb"/>
            <w:noWrap w:val="false"/>
          </w:tcPr>
          <w:p>
            <w:pPr>
              <w:ind w:left="0" w:firstLine="0"/>
              <w:jc w:val="both"/>
              <w:rPr>
                <w:rFonts w:ascii="宋体" w:hAnsi="宋体" w:eastAsia="宋体" w:cs="Times New Roman"/>
                <w:color w:val="auto"/>
                <w:sz w:val="24"/>
                <w:szCs w:val="24"/>
                <w:highlight w:val="none"/>
              </w:rPr>
            </w:pPr>
            <w:r/>
            <w:bookmarkStart w:id="20" w:name="_Hlt26955064"/>
            <w:r/>
            <w:bookmarkEnd w:id="20"/>
            <w:r/>
            <w:bookmarkStart w:id="21" w:name="_Hlt26671372"/>
            <w:r/>
            <w:bookmarkEnd w:id="21"/>
            <w:r/>
            <w:bookmarkStart w:id="22" w:name="_Hlt26782999"/>
            <w:r/>
            <w:bookmarkEnd w:id="22"/>
            <w:r/>
            <w:bookmarkStart w:id="23" w:name="_Hlt26955056"/>
            <w:r/>
            <w:bookmarkEnd w:id="23"/>
            <w:r/>
            <w:bookmarkStart w:id="24" w:name="_Hlt26580838"/>
            <w:r/>
            <w:bookmarkEnd w:id="24"/>
            <w:r/>
            <w:bookmarkStart w:id="25" w:name="_Hlt26671343"/>
            <w:r/>
            <w:bookmarkEnd w:id="25"/>
            <w:r/>
            <w:bookmarkStart w:id="26" w:name="_Hlt26609391"/>
            <w:r/>
            <w:bookmarkEnd w:id="26"/>
            <w:r/>
            <w:bookmarkStart w:id="27" w:name="_Hlt24879081"/>
            <w:r/>
            <w:bookmarkEnd w:id="27"/>
            <w:r>
              <w:rPr>
                <w:rFonts w:hint="eastAsia" w:ascii="宋体" w:hAnsi="宋体" w:eastAsia="宋体" w:cs="Times New Roman"/>
                <w:color w:val="auto"/>
                <w:sz w:val="24"/>
                <w:szCs w:val="24"/>
                <w:highlight w:val="none"/>
              </w:rPr>
              <w:t xml:space="preserve">序号</w:t>
            </w:r>
            <w:r/>
          </w:p>
        </w:tc>
        <w:tc>
          <w:tcPr>
            <w:tcW w:w="3263"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招标文件要求</w:t>
            </w:r>
            <w:r/>
          </w:p>
        </w:tc>
        <w:tc>
          <w:tcPr>
            <w:tcW w:w="3034"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投标响应情况</w:t>
            </w:r>
            <w:r/>
          </w:p>
        </w:tc>
        <w:tc>
          <w:tcPr>
            <w:tcW w:w="2705" w:type="dxa"/>
            <w:vAlign w:val="center"/>
            <w:textDirection w:val="lrTb"/>
            <w:noWrap w:val="false"/>
          </w:tcPr>
          <w:p>
            <w:pPr>
              <w:ind w:left="0" w:firstLine="0"/>
              <w:jc w:val="both"/>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超出、符合或偏离</w:t>
            </w:r>
            <w:r/>
          </w:p>
        </w:tc>
      </w:tr>
      <w:tr>
        <w:trPr>
          <w:cantSplit/>
          <w:trHeight w:val="640"/>
        </w:trPr>
        <w:tc>
          <w:tcPr>
            <w:tcW w:w="81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p>
        </w:tc>
        <w:tc>
          <w:tcPr>
            <w:tcW w:w="326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3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705"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trHeight w:val="640"/>
        </w:trPr>
        <w:tc>
          <w:tcPr>
            <w:tcW w:w="81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p>
        </w:tc>
        <w:tc>
          <w:tcPr>
            <w:tcW w:w="326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3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705"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trHeight w:val="640"/>
        </w:trPr>
        <w:tc>
          <w:tcPr>
            <w:tcW w:w="81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p>
        </w:tc>
        <w:tc>
          <w:tcPr>
            <w:tcW w:w="326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3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705"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trHeight w:val="640"/>
        </w:trPr>
        <w:tc>
          <w:tcPr>
            <w:tcW w:w="817"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w:t>
            </w:r>
            <w:r/>
          </w:p>
        </w:tc>
        <w:tc>
          <w:tcPr>
            <w:tcW w:w="326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3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705"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bl>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Times New Roman" w:hAnsi="Times New Roman" w:eastAsia="宋体" w:cs="Times New Roman"/>
          <w:color w:val="auto"/>
          <w:sz w:val="24"/>
          <w:szCs w:val="24"/>
          <w:highlight w:val="none"/>
        </w:rPr>
        <w:t xml:space="preserve">或委托代理人（签字或盖章）：</w:t>
      </w:r>
      <w:r/>
    </w:p>
    <w:p>
      <w:pPr>
        <w:ind w:firstLine="480"/>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rPr>
          <w:color w:val="auto"/>
          <w:highlight w:val="none"/>
        </w:rPr>
        <w:sectPr>
          <w:footnotePr/>
          <w:endnotePr/>
          <w:type w:val="nextPage"/>
          <w:pgSz w:w="11906" w:h="16838" w:orient="portrait"/>
          <w:pgMar w:top="1134" w:right="1134" w:bottom="1134" w:left="1134" w:header="720" w:footer="720" w:gutter="0"/>
          <w:pgNumType w:start="1"/>
          <w:cols w:num="1" w:sep="0" w:space="1701" w:equalWidth="1"/>
          <w:docGrid w:linePitch="360"/>
        </w:sectPr>
      </w:pPr>
      <w:r/>
      <w:bookmarkStart w:id="28" w:name="_Hlt26609389"/>
      <w:r/>
      <w:bookmarkEnd w:id="28"/>
      <w:r/>
      <w:bookmarkStart w:id="29" w:name="_Hlt26671374"/>
      <w:r/>
      <w:bookmarkEnd w:id="29"/>
      <w:r/>
      <w:bookmarkStart w:id="30" w:name="_格式2__法定代表人授权书"/>
      <w:r/>
      <w:bookmarkEnd w:id="30"/>
      <w:r/>
      <w:bookmarkStart w:id="31" w:name="_Hlt26955066"/>
      <w:r/>
      <w:bookmarkEnd w:id="31"/>
      <w:r/>
      <w:r/>
    </w:p>
    <w:p>
      <w:pPr>
        <w:ind w:left="0" w:firstLine="0"/>
        <w:jc w:val="left"/>
        <w:keepLines/>
        <w:keepNext/>
        <w:spacing w:before="360" w:after="200" w:line="360" w:lineRule="auto"/>
        <w:rPr>
          <w:rFonts w:ascii="Arial" w:hAnsi="Arial" w:eastAsia="宋体" w:cs="Arial"/>
          <w:iCs/>
          <w:color w:val="auto"/>
          <w:sz w:val="36"/>
          <w:highlight w:val="none"/>
        </w:rPr>
        <w:outlineLvl w:val="1"/>
      </w:pPr>
      <w:r>
        <w:rPr>
          <w:rFonts w:hint="eastAsia" w:ascii="Arial" w:hAnsi="Arial" w:eastAsia="宋体" w:cs="Arial"/>
          <w:iCs/>
          <w:color w:val="auto"/>
          <w:sz w:val="36"/>
          <w:highlight w:val="none"/>
        </w:rPr>
        <w:t xml:space="preserve">十七、类似项目业绩一览表</w:t>
      </w:r>
      <w:r/>
    </w:p>
    <w:p>
      <w:pPr>
        <w:jc w:val="center"/>
        <w:spacing w:line="360" w:lineRule="auto"/>
        <w:tabs>
          <w:tab w:val="left" w:pos="360" w:leader="none"/>
        </w:tabs>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类似项目业绩一览表</w:t>
      </w:r>
      <w:r/>
    </w:p>
    <w:p>
      <w:pPr>
        <w:jc w:val="left"/>
        <w:spacing w:line="360" w:lineRule="auto"/>
        <w:rPr>
          <w:color w:val="auto"/>
          <w:highlight w:val="none"/>
        </w:rPr>
      </w:pPr>
      <w:r>
        <w:rPr>
          <w:rFonts w:hint="eastAsia" w:ascii="宋体" w:hAnsi="宋体" w:eastAsia="宋体" w:cs="方正仿宋_GBK"/>
          <w:color w:val="auto"/>
          <w:sz w:val="24"/>
          <w:szCs w:val="24"/>
          <w:highlight w:val="none"/>
        </w:rPr>
        <w:t xml:space="preserve">项目名称：      项目编号：     </w:t>
      </w:r>
      <w:r>
        <w:rPr>
          <w:rFonts w:ascii="宋体" w:hAnsi="宋体" w:eastAsia="宋体" w:cs="Times New Roman"/>
          <w:bCs/>
          <w:color w:val="auto"/>
          <w:sz w:val="24"/>
          <w:szCs w:val="24"/>
          <w:highlight w:val="none"/>
        </w:rPr>
        <w:t xml:space="preserve"> </w:t>
      </w:r>
      <w:r/>
    </w:p>
    <w:tbl>
      <w:tblPr>
        <w:tblStyle w:val="844"/>
        <w:tblW w:w="881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2"/>
        <w:gridCol w:w="2499"/>
        <w:gridCol w:w="1850"/>
        <w:gridCol w:w="1985"/>
        <w:gridCol w:w="1616"/>
      </w:tblGrid>
      <w:tr>
        <w:trPr>
          <w:cantSplit/>
          <w:jc w:val="center"/>
        </w:trPr>
        <w:tc>
          <w:tcPr>
            <w:tcW w:w="862" w:type="dxa"/>
            <w:vAlign w:val="center"/>
            <w:textDirection w:val="lrTb"/>
            <w:noWrap w:val="false"/>
          </w:tcPr>
          <w:p>
            <w:pPr>
              <w:ind w:left="0" w:firstLine="0"/>
              <w:jc w:val="both"/>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序号</w:t>
            </w:r>
            <w:r/>
          </w:p>
        </w:tc>
        <w:tc>
          <w:tcPr>
            <w:tcW w:w="2499"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项目名称</w:t>
            </w:r>
            <w:r/>
          </w:p>
        </w:tc>
        <w:tc>
          <w:tcPr>
            <w:tcW w:w="1850" w:type="dxa"/>
            <w:vAlign w:val="center"/>
            <w:textDirection w:val="lrTb"/>
            <w:noWrap w:val="false"/>
          </w:tcPr>
          <w:p>
            <w:pPr>
              <w:ind w:left="0" w:firstLine="0"/>
              <w:jc w:val="both"/>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签订时间</w:t>
            </w:r>
            <w:r/>
          </w:p>
        </w:tc>
        <w:tc>
          <w:tcPr>
            <w:tcW w:w="1985" w:type="dxa"/>
            <w:vAlign w:val="center"/>
            <w:textDirection w:val="lrTb"/>
            <w:noWrap w:val="false"/>
          </w:tcPr>
          <w:p>
            <w:pPr>
              <w:ind w:left="0" w:firstLine="0"/>
              <w:jc w:val="both"/>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采购单位</w:t>
            </w:r>
            <w:r/>
          </w:p>
        </w:tc>
        <w:tc>
          <w:tcPr>
            <w:tcW w:w="1616" w:type="dxa"/>
            <w:vAlign w:val="center"/>
            <w:textDirection w:val="lrTb"/>
            <w:noWrap w:val="false"/>
          </w:tcPr>
          <w:p>
            <w:pPr>
              <w:ind w:left="0" w:firstLine="0"/>
              <w:jc w:val="both"/>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主要标的</w:t>
            </w:r>
            <w:r/>
          </w:p>
        </w:tc>
      </w:tr>
      <w:tr>
        <w:trPr>
          <w:cantSplit/>
          <w:jc w:val="center"/>
          <w:trHeight w:val="640"/>
        </w:trPr>
        <w:tc>
          <w:tcPr>
            <w:tcW w:w="862" w:type="dxa"/>
            <w:vAlign w:val="center"/>
            <w:textDirection w:val="lrTb"/>
            <w:noWrap w:val="false"/>
          </w:tcPr>
          <w:p>
            <w:pPr>
              <w:ind w:left="0" w:firstLine="0"/>
              <w:jc w:val="both"/>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p>
        </w:tc>
        <w:tc>
          <w:tcPr>
            <w:tcW w:w="2499"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850" w:type="dxa"/>
            <w:vAlign w:val="top"/>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985"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616"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862" w:type="dxa"/>
            <w:vAlign w:val="center"/>
            <w:textDirection w:val="lrTb"/>
            <w:noWrap w:val="false"/>
          </w:tcPr>
          <w:p>
            <w:pPr>
              <w:ind w:left="0" w:firstLine="0"/>
              <w:jc w:val="both"/>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p>
        </w:tc>
        <w:tc>
          <w:tcPr>
            <w:tcW w:w="2499"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850" w:type="dxa"/>
            <w:vAlign w:val="top"/>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985"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616"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862" w:type="dxa"/>
            <w:vAlign w:val="center"/>
            <w:textDirection w:val="lrTb"/>
            <w:noWrap w:val="false"/>
          </w:tcPr>
          <w:p>
            <w:pPr>
              <w:ind w:left="0" w:firstLine="0"/>
              <w:jc w:val="both"/>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p>
        </w:tc>
        <w:tc>
          <w:tcPr>
            <w:tcW w:w="2499"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850" w:type="dxa"/>
            <w:vAlign w:val="top"/>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985"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616"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862" w:type="dxa"/>
            <w:vAlign w:val="center"/>
            <w:textDirection w:val="lrTb"/>
            <w:noWrap w:val="false"/>
          </w:tcPr>
          <w:p>
            <w:pPr>
              <w:ind w:left="0" w:firstLine="0"/>
              <w:jc w:val="both"/>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w:t>
            </w:r>
            <w:r/>
          </w:p>
        </w:tc>
        <w:tc>
          <w:tcPr>
            <w:tcW w:w="2499"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850" w:type="dxa"/>
            <w:vAlign w:val="top"/>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985"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616"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bl>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Times New Roman" w:hAnsi="Times New Roman" w:eastAsia="宋体" w:cs="Times New Roman"/>
          <w:color w:val="auto"/>
          <w:sz w:val="24"/>
          <w:szCs w:val="24"/>
          <w:highlight w:val="none"/>
        </w:rPr>
        <w:t xml:space="preserve">或委托代理人（签字或盖章）：</w:t>
      </w:r>
      <w:r/>
    </w:p>
    <w:p>
      <w:pPr>
        <w:ind w:firstLine="480"/>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ind w:left="0" w:firstLine="0"/>
        <w:jc w:val="left"/>
        <w:keepLines/>
        <w:keepNext/>
        <w:spacing w:before="360" w:after="200" w:line="360" w:lineRule="auto"/>
        <w:rPr>
          <w:rFonts w:hint="eastAsia" w:ascii="Arial" w:hAnsi="Arial" w:eastAsia="宋体" w:cs="Arial"/>
          <w:iCs/>
          <w:color w:val="auto"/>
          <w:sz w:val="36"/>
          <w:highlight w:val="none"/>
        </w:rPr>
        <w:sectPr>
          <w:footnotePr/>
          <w:endnotePr/>
          <w:type w:val="nextPage"/>
          <w:pgSz w:w="11906" w:h="16838" w:orient="portrait"/>
          <w:pgMar w:top="1134" w:right="1134" w:bottom="1134" w:left="1134" w:header="720" w:footer="720" w:gutter="0"/>
          <w:pgNumType w:start="1"/>
          <w:cols w:num="1" w:sep="0" w:space="1701" w:equalWidth="1"/>
          <w:docGrid w:linePitch="360"/>
        </w:sectPr>
        <w:outlineLvl w:val="1"/>
      </w:pPr>
      <w:r>
        <w:rPr>
          <w:rFonts w:hint="eastAsia" w:ascii="Arial" w:hAnsi="Arial" w:eastAsia="宋体" w:cs="Arial"/>
          <w:iCs/>
          <w:color w:val="auto"/>
          <w:sz w:val="36"/>
          <w:highlight w:val="none"/>
        </w:rPr>
      </w:r>
      <w:r/>
    </w:p>
    <w:p>
      <w:pPr>
        <w:ind w:left="0" w:firstLine="0"/>
        <w:jc w:val="left"/>
        <w:keepLines/>
        <w:keepNext/>
        <w:spacing w:before="360" w:after="200" w:line="360" w:lineRule="auto"/>
        <w:rPr>
          <w:rFonts w:ascii="Arial" w:hAnsi="Arial" w:eastAsia="宋体" w:cs="Arial"/>
          <w:iCs/>
          <w:color w:val="auto"/>
          <w:sz w:val="36"/>
          <w:highlight w:val="none"/>
        </w:rPr>
        <w:outlineLvl w:val="1"/>
      </w:pPr>
      <w:r>
        <w:rPr>
          <w:rFonts w:hint="eastAsia" w:ascii="Arial" w:hAnsi="Arial" w:eastAsia="宋体" w:cs="Arial"/>
          <w:iCs/>
          <w:color w:val="auto"/>
          <w:sz w:val="36"/>
          <w:highlight w:val="none"/>
        </w:rPr>
        <w:t xml:space="preserve">十八、项目团队人员一览表</w:t>
      </w:r>
      <w:r/>
    </w:p>
    <w:p>
      <w:pPr>
        <w:jc w:val="center"/>
        <w:spacing w:line="360" w:lineRule="auto"/>
        <w:tabs>
          <w:tab w:val="left" w:pos="360" w:leader="none"/>
        </w:tabs>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项目团队人员一览表</w:t>
      </w:r>
      <w:r/>
    </w:p>
    <w:p>
      <w:pPr>
        <w:jc w:val="left"/>
        <w:spacing w:line="360" w:lineRule="auto"/>
        <w:rPr>
          <w:color w:val="auto"/>
          <w:highlight w:val="none"/>
        </w:rPr>
      </w:pPr>
      <w:r>
        <w:rPr>
          <w:rFonts w:hint="eastAsia" w:ascii="宋体" w:hAnsi="宋体" w:eastAsia="宋体" w:cs="方正仿宋_GBK"/>
          <w:color w:val="auto"/>
          <w:sz w:val="24"/>
          <w:szCs w:val="24"/>
          <w:highlight w:val="none"/>
        </w:rPr>
        <w:t xml:space="preserve">项目名称：      项目编号：      </w:t>
      </w:r>
      <w:r>
        <w:rPr>
          <w:rFonts w:ascii="宋体" w:hAnsi="宋体" w:eastAsia="宋体" w:cs="Times New Roman"/>
          <w:bCs/>
          <w:color w:val="auto"/>
          <w:sz w:val="24"/>
          <w:szCs w:val="24"/>
          <w:highlight w:val="none"/>
        </w:rPr>
        <w:t xml:space="preserve"> </w:t>
      </w:r>
      <w:r/>
    </w:p>
    <w:tbl>
      <w:tblPr>
        <w:tblStyle w:val="844"/>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99"/>
        <w:gridCol w:w="2284"/>
        <w:gridCol w:w="2831"/>
        <w:gridCol w:w="3234"/>
      </w:tblGrid>
      <w:tr>
        <w:trPr>
          <w:cantSplit/>
          <w:jc w:val="center"/>
          <w:trHeight w:val="638"/>
        </w:trPr>
        <w:tc>
          <w:tcPr>
            <w:tcW w:w="761" w:type="dxa"/>
            <w:vAlign w:val="center"/>
            <w:textDirection w:val="lrTb"/>
            <w:noWrap w:val="false"/>
          </w:tcPr>
          <w:p>
            <w:pPr>
              <w:ind w:left="0" w:firstLine="0"/>
              <w:jc w:val="both"/>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姓名</w:t>
            </w:r>
            <w:r/>
          </w:p>
        </w:tc>
        <w:tc>
          <w:tcPr>
            <w:tcW w:w="1159" w:type="dxa"/>
            <w:vAlign w:val="center"/>
            <w:textDirection w:val="lrTb"/>
            <w:noWrap w:val="false"/>
          </w:tcPr>
          <w:p>
            <w:pPr>
              <w:ind w:left="0" w:firstLine="0"/>
              <w:jc w:val="both"/>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本项目拟担任职务</w:t>
            </w:r>
            <w:r/>
          </w:p>
        </w:tc>
        <w:tc>
          <w:tcPr>
            <w:tcW w:w="1437" w:type="dxa"/>
            <w:vAlign w:val="center"/>
            <w:textDirection w:val="lrTb"/>
            <w:noWrap w:val="false"/>
          </w:tcPr>
          <w:p>
            <w:pPr>
              <w:ind w:left="0" w:firstLine="0"/>
              <w:jc w:val="both"/>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技术职称、专业资质</w:t>
            </w:r>
            <w:r/>
          </w:p>
        </w:tc>
        <w:tc>
          <w:tcPr>
            <w:tcW w:w="1641" w:type="dxa"/>
            <w:vAlign w:val="center"/>
            <w:textDirection w:val="lrTb"/>
            <w:noWrap w:val="false"/>
          </w:tcPr>
          <w:p>
            <w:pPr>
              <w:ind w:left="0" w:firstLine="0"/>
              <w:jc w:val="both"/>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主要资历及担任过的职务</w:t>
            </w:r>
            <w:r/>
          </w:p>
        </w:tc>
      </w:tr>
      <w:tr>
        <w:trPr>
          <w:cantSplit/>
          <w:jc w:val="center"/>
          <w:trHeight w:val="640"/>
        </w:trPr>
        <w:tc>
          <w:tcPr>
            <w:tcW w:w="76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159"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437" w:type="dxa"/>
            <w:vAlign w:val="top"/>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64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76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159"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437" w:type="dxa"/>
            <w:vAlign w:val="top"/>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64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76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159"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437" w:type="dxa"/>
            <w:vAlign w:val="top"/>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64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76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159"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437" w:type="dxa"/>
            <w:vAlign w:val="top"/>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64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bl>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Times New Roman" w:hAnsi="Times New Roman" w:eastAsia="宋体" w:cs="Times New Roman"/>
          <w:color w:val="auto"/>
          <w:sz w:val="24"/>
          <w:szCs w:val="24"/>
          <w:highlight w:val="none"/>
        </w:rPr>
        <w:t xml:space="preserve">或委托代理人（签字或盖章）：</w:t>
      </w:r>
      <w:r/>
    </w:p>
    <w:p>
      <w:pPr>
        <w:ind w:firstLine="480"/>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hint="eastAsia" w:ascii="Arial" w:hAnsi="Arial" w:eastAsia="宋体" w:cs="Arial"/>
          <w:i/>
          <w:color w:val="auto"/>
          <w:sz w:val="36"/>
          <w:highlight w:val="none"/>
          <w:u w:val="single"/>
        </w:rPr>
        <w:sectPr>
          <w:footnotePr/>
          <w:endnotePr/>
          <w:type w:val="nextPage"/>
          <w:pgSz w:w="11906" w:h="16838" w:orient="portrait"/>
          <w:pgMar w:top="1134" w:right="1134" w:bottom="1134" w:left="1134" w:header="720" w:footer="720" w:gutter="0"/>
          <w:pgNumType w:start="1"/>
          <w:cols w:num="1" w:sep="0" w:space="1701" w:equalWidth="1"/>
          <w:docGrid w:linePitch="360"/>
        </w:sectPr>
        <w:outlineLvl w:val="1"/>
      </w:pPr>
      <w:r>
        <w:rPr>
          <w:rFonts w:hint="eastAsia" w:ascii="Arial" w:hAnsi="Arial" w:eastAsia="宋体" w:cs="Arial"/>
          <w:i/>
          <w:color w:val="auto"/>
          <w:sz w:val="36"/>
          <w:highlight w:val="none"/>
          <w:u w:val="single"/>
        </w:rPr>
      </w:r>
      <w:r/>
    </w:p>
    <w:p>
      <w:pPr>
        <w:ind w:left="0" w:firstLine="0"/>
        <w:jc w:val="left"/>
        <w:rPr>
          <w:rFonts w:ascii="Times New Roman" w:hAnsi="Times New Roman" w:eastAsia="仿宋_GB2312" w:cs="Times New Roman"/>
          <w:i w:val="0"/>
          <w:iCs/>
          <w:color w:val="auto"/>
          <w:sz w:val="36"/>
          <w:szCs w:val="36"/>
          <w:highlight w:val="none"/>
          <w:u w:val="none"/>
        </w:rPr>
      </w:pPr>
      <w:r>
        <w:rPr>
          <w:rFonts w:hint="eastAsia" w:ascii="宋体" w:hAnsi="宋体" w:eastAsia="宋体" w:cs="宋体"/>
          <w:bCs/>
          <w:i w:val="0"/>
          <w:iCs/>
          <w:color w:val="auto"/>
          <w:sz w:val="36"/>
          <w:szCs w:val="36"/>
          <w:highlight w:val="none"/>
          <w:u w:val="none"/>
        </w:rPr>
        <w:t xml:space="preserve">十九、开标一览表</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投标人全称（CA公章）：</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项目名称：</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项目编号：                                  </w:t>
      </w:r>
      <w:r/>
    </w:p>
    <w:tbl>
      <w:tblPr>
        <w:tblStyle w:val="1061"/>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02"/>
        <w:gridCol w:w="5703"/>
      </w:tblGrid>
      <w:tr>
        <w:trPr/>
        <w:tc>
          <w:tcPr>
            <w:tcW w:w="2802" w:type="dxa"/>
            <w:vAlign w:val="top"/>
            <w:textDirection w:val="lrTb"/>
            <w:noWrap w:val="false"/>
          </w:tcPr>
          <w:p>
            <w:pPr>
              <w:jc w:val="center"/>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投标货物名称</w:t>
            </w:r>
            <w:r/>
          </w:p>
        </w:tc>
        <w:tc>
          <w:tcPr>
            <w:tcW w:w="5703" w:type="dxa"/>
            <w:vAlign w:val="top"/>
            <w:textDirection w:val="lrTb"/>
            <w:noWrap w:val="false"/>
          </w:tcPr>
          <w:p>
            <w:pPr>
              <w:jc w:val="center"/>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总价（小写）</w:t>
            </w:r>
            <w:r/>
          </w:p>
        </w:tc>
      </w:tr>
      <w:tr>
        <w:trPr/>
        <w:tc>
          <w:tcPr>
            <w:tcW w:w="2802" w:type="dxa"/>
            <w:vAlign w:val="top"/>
            <w:textDirection w:val="lrTb"/>
            <w:noWrap w:val="false"/>
          </w:tcPr>
          <w:p>
            <w:pPr>
              <w:jc w:val="center"/>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5703" w:type="dxa"/>
            <w:vAlign w:val="top"/>
            <w:textDirection w:val="lrTb"/>
            <w:noWrap w:val="false"/>
          </w:tcPr>
          <w:p>
            <w:pPr>
              <w:jc w:val="center"/>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元</w:t>
            </w:r>
            <w:r/>
          </w:p>
        </w:tc>
      </w:tr>
      <w:tr>
        <w:trPr/>
        <w:tc>
          <w:tcPr>
            <w:tcW w:w="2802" w:type="dxa"/>
            <w:vAlign w:val="top"/>
            <w:textDirection w:val="lrTb"/>
            <w:noWrap w:val="false"/>
          </w:tcPr>
          <w:p>
            <w:pPr>
              <w:jc w:val="center"/>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核心产品</w:t>
            </w:r>
            <w:r/>
          </w:p>
        </w:tc>
        <w:tc>
          <w:tcPr>
            <w:tcW w:w="5703" w:type="dxa"/>
            <w:vAlign w:val="top"/>
            <w:textDirection w:val="lrTb"/>
            <w:noWrap w:val="false"/>
          </w:tcPr>
          <w:p>
            <w:pPr>
              <w:jc w:val="center"/>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bl>
    <w:p>
      <w:pPr>
        <w:ind w:firstLine="480"/>
        <w:jc w:val="right"/>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    年     月     日</w:t>
      </w:r>
      <w:r/>
    </w:p>
    <w:p>
      <w:pPr>
        <w:jc w:val="left"/>
        <w:widowControl/>
        <w:rPr>
          <w:rFonts w:ascii="黑体" w:hAnsi="黑体" w:eastAsia="黑体" w:cs="仿宋"/>
          <w:bCs/>
          <w:color w:val="auto"/>
          <w:sz w:val="40"/>
          <w:szCs w:val="32"/>
          <w:highlight w:val="none"/>
        </w:rPr>
      </w:pPr>
      <w:r>
        <w:rPr>
          <w:rFonts w:ascii="黑体" w:hAnsi="黑体" w:eastAsia="黑体" w:cs="仿宋"/>
          <w:bCs/>
          <w:color w:val="auto"/>
          <w:sz w:val="40"/>
          <w:szCs w:val="32"/>
          <w:highlight w:val="none"/>
        </w:rPr>
      </w:r>
      <w:r/>
    </w:p>
    <w:p>
      <w:pPr>
        <w:ind w:left="0" w:firstLine="0"/>
        <w:jc w:val="left"/>
        <w:rPr>
          <w:rFonts w:hint="eastAsia" w:ascii="宋体" w:hAnsi="宋体" w:eastAsia="宋体" w:cs="宋体"/>
          <w:bCs/>
          <w:i/>
          <w:color w:val="auto"/>
          <w:sz w:val="36"/>
          <w:szCs w:val="36"/>
          <w:highlight w:val="none"/>
          <w:u w:val="single"/>
        </w:rPr>
        <w:sectPr>
          <w:footnotePr/>
          <w:endnotePr/>
          <w:type w:val="nextPage"/>
          <w:pgSz w:w="11906" w:h="16838" w:orient="portrait"/>
          <w:pgMar w:top="1134" w:right="1134" w:bottom="1134" w:left="1134" w:header="720" w:footer="720" w:gutter="0"/>
          <w:pgNumType w:start="1"/>
          <w:cols w:num="1" w:sep="0" w:space="1701" w:equalWidth="1"/>
          <w:docGrid w:linePitch="360"/>
        </w:sectPr>
      </w:pPr>
      <w:r>
        <w:rPr>
          <w:rFonts w:hint="eastAsia" w:ascii="宋体" w:hAnsi="宋体" w:eastAsia="宋体" w:cs="宋体"/>
          <w:bCs/>
          <w:i/>
          <w:color w:val="auto"/>
          <w:sz w:val="36"/>
          <w:szCs w:val="36"/>
          <w:highlight w:val="none"/>
          <w:u w:val="single"/>
        </w:rPr>
      </w:r>
      <w:r/>
    </w:p>
    <w:p>
      <w:pPr>
        <w:ind w:left="0" w:firstLine="0"/>
        <w:jc w:val="left"/>
        <w:rPr>
          <w:rFonts w:ascii="Times New Roman" w:hAnsi="Times New Roman" w:eastAsia="仿宋_GB2312" w:cs="Times New Roman"/>
          <w:color w:val="auto"/>
          <w:sz w:val="24"/>
          <w:szCs w:val="20"/>
          <w:highlight w:val="none"/>
        </w:rPr>
      </w:pPr>
      <w:r>
        <w:rPr>
          <w:rFonts w:hint="eastAsia" w:ascii="宋体" w:hAnsi="宋体" w:eastAsia="宋体" w:cs="宋体"/>
          <w:bCs/>
          <w:i/>
          <w:color w:val="auto"/>
          <w:sz w:val="36"/>
          <w:szCs w:val="36"/>
          <w:highlight w:val="none"/>
          <w:u w:val="single"/>
        </w:rPr>
        <w:t xml:space="preserve">二十、财务状况报告及税收、社会保障资金缴纳情况承诺函</w:t>
      </w:r>
      <w:r/>
    </w:p>
    <w:p>
      <w:pPr>
        <w:jc w:val="center"/>
        <w:rPr>
          <w:rFonts w:ascii="黑体" w:hAnsi="黑体" w:eastAsia="黑体" w:cs="仿宋"/>
          <w:bCs/>
          <w:color w:val="auto"/>
          <w:sz w:val="40"/>
          <w:szCs w:val="32"/>
          <w:highlight w:val="none"/>
        </w:rPr>
      </w:pPr>
      <w:r>
        <w:rPr>
          <w:rFonts w:ascii="黑体" w:hAnsi="黑体" w:eastAsia="黑体" w:cs="仿宋"/>
          <w:bCs/>
          <w:color w:val="auto"/>
          <w:sz w:val="40"/>
          <w:szCs w:val="32"/>
          <w:highlight w:val="none"/>
        </w:rPr>
      </w:r>
      <w:r/>
    </w:p>
    <w:p>
      <w:pPr>
        <w:jc w:val="center"/>
        <w:spacing w:line="560" w:lineRule="exact"/>
        <w:rPr>
          <w:rFonts w:ascii="Calibri" w:hAnsi="Calibri" w:eastAsia="宋体" w:cs="Times New Roman"/>
          <w:color w:val="auto"/>
          <w:highlight w:val="none"/>
        </w:rPr>
      </w:pPr>
      <w:r>
        <w:rPr>
          <w:rFonts w:hint="eastAsia" w:ascii="黑体" w:hAnsi="黑体" w:eastAsia="黑体" w:cs="宋体"/>
          <w:bCs/>
          <w:color w:val="auto"/>
          <w:sz w:val="36"/>
          <w:szCs w:val="28"/>
          <w:highlight w:val="none"/>
        </w:rPr>
        <w:t xml:space="preserve">财务状况报告及税收、社会保障资金缴纳情况承诺函</w:t>
      </w:r>
      <w:r/>
    </w:p>
    <w:p>
      <w:pPr>
        <w:spacing w:line="56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致：</w:t>
      </w:r>
      <w:r>
        <w:rPr>
          <w:rFonts w:hint="eastAsia" w:ascii="宋体" w:hAnsi="宋体" w:eastAsia="宋体" w:cs="Times New Roman"/>
          <w:i/>
          <w:color w:val="auto"/>
          <w:sz w:val="24"/>
          <w:highlight w:val="none"/>
          <w:u w:val="single"/>
        </w:rPr>
        <w:t xml:space="preserve">【采购单位】</w:t>
      </w:r>
      <w:r/>
    </w:p>
    <w:p>
      <w:pPr>
        <w:ind w:firstLine="480"/>
        <w:spacing w:line="56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我方</w:t>
      </w:r>
      <w:r>
        <w:rPr>
          <w:rFonts w:hint="eastAsia" w:ascii="宋体" w:hAnsi="宋体" w:eastAsia="宋体" w:cs="Times New Roman"/>
          <w:i/>
          <w:color w:val="auto"/>
          <w:sz w:val="24"/>
          <w:highlight w:val="none"/>
          <w:u w:val="single"/>
        </w:rPr>
        <w:t xml:space="preserve">供应商名称 </w:t>
      </w:r>
      <w:r>
        <w:rPr>
          <w:rFonts w:hint="eastAsia" w:ascii="宋体" w:hAnsi="宋体" w:eastAsia="宋体" w:cs="Times New Roman"/>
          <w:color w:val="auto"/>
          <w:sz w:val="24"/>
          <w:highlight w:val="none"/>
        </w:rPr>
        <w:t xml:space="preserve">参加</w:t>
      </w:r>
      <w:r>
        <w:rPr>
          <w:rFonts w:hint="eastAsia" w:ascii="宋体" w:hAnsi="宋体" w:eastAsia="宋体" w:cs="Times New Roman"/>
          <w:i/>
          <w:color w:val="auto"/>
          <w:sz w:val="24"/>
          <w:highlight w:val="none"/>
          <w:u w:val="single"/>
        </w:rPr>
        <w:t xml:space="preserve">【标段名称】</w:t>
      </w:r>
      <w:r>
        <w:rPr>
          <w:rFonts w:hint="eastAsia" w:ascii="宋体" w:hAnsi="宋体" w:eastAsia="宋体" w:cs="Times New Roman"/>
          <w:color w:val="auto"/>
          <w:sz w:val="24"/>
          <w:highlight w:val="none"/>
        </w:rPr>
        <w:t xml:space="preserve">（项目编号：</w:t>
      </w:r>
      <w:r>
        <w:rPr>
          <w:rFonts w:hint="eastAsia" w:ascii="宋体" w:hAnsi="宋体" w:eastAsia="宋体" w:cs="Times New Roman"/>
          <w:i/>
          <w:color w:val="auto"/>
          <w:sz w:val="24"/>
          <w:highlight w:val="none"/>
          <w:u w:val="single"/>
        </w:rPr>
        <w:t xml:space="preserve">【标段编号】</w:t>
      </w:r>
      <w:r>
        <w:rPr>
          <w:rFonts w:hint="eastAsia" w:ascii="宋体" w:hAnsi="宋体" w:eastAsia="宋体" w:cs="Times New Roman"/>
          <w:color w:val="auto"/>
          <w:sz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spacing w:line="56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（1）具有良好的商业信誉和健全的财务会计制度（财务状况报告）；</w:t>
      </w:r>
      <w:r/>
    </w:p>
    <w:p>
      <w:pPr>
        <w:ind w:firstLine="480"/>
        <w:spacing w:line="56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（2）有依法缴纳税收和社会保障资金的良好记录。</w:t>
      </w:r>
      <w:r/>
    </w:p>
    <w:p>
      <w:pPr>
        <w:ind w:firstLine="480"/>
        <w:spacing w:line="56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spacing w:line="56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特此承诺</w:t>
      </w:r>
      <w:r/>
    </w:p>
    <w:p>
      <w:pPr>
        <w:ind w:firstLine="480"/>
        <w:spacing w:line="560" w:lineRule="exact"/>
        <w:rPr>
          <w:rFonts w:ascii="宋体" w:hAnsi="宋体" w:eastAsia="宋体" w:cs="Times New Roman"/>
          <w:color w:val="auto"/>
          <w:sz w:val="24"/>
          <w:highlight w:val="none"/>
        </w:rPr>
      </w:pPr>
      <w:r>
        <w:rPr>
          <w:rFonts w:ascii="宋体" w:hAnsi="宋体" w:eastAsia="宋体" w:cs="Times New Roman"/>
          <w:color w:val="auto"/>
          <w:sz w:val="24"/>
          <w:highlight w:val="none"/>
        </w:rPr>
      </w:r>
      <w:r/>
    </w:p>
    <w:p>
      <w:pPr>
        <w:ind w:firstLine="480"/>
        <w:spacing w:line="56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投标人（盖章）：</w:t>
      </w:r>
      <w:r/>
    </w:p>
    <w:p>
      <w:pPr>
        <w:ind w:firstLine="480"/>
        <w:spacing w:line="56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法定代表人或委托代理人（签字或盖章）：</w:t>
      </w:r>
      <w:r/>
    </w:p>
    <w:p>
      <w:pPr>
        <w:ind w:firstLine="480"/>
        <w:spacing w:line="56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日期：    年     月     日</w:t>
      </w:r>
      <w:r/>
    </w:p>
    <w:p>
      <w:pPr>
        <w:jc w:val="center"/>
        <w:rPr>
          <w:rFonts w:ascii="黑体" w:hAnsi="黑体" w:eastAsia="黑体" w:cs="仿宋"/>
          <w:bCs/>
          <w:color w:val="auto"/>
          <w:sz w:val="40"/>
          <w:szCs w:val="32"/>
          <w:highlight w:val="none"/>
        </w:rPr>
      </w:pPr>
      <w:r>
        <w:rPr>
          <w:rFonts w:ascii="黑体" w:hAnsi="黑体" w:eastAsia="黑体" w:cs="仿宋"/>
          <w:bCs/>
          <w:color w:val="auto"/>
          <w:sz w:val="40"/>
          <w:szCs w:val="32"/>
          <w:highlight w:val="none"/>
        </w:rPr>
      </w:r>
      <w:r/>
    </w:p>
    <w:p>
      <w:pPr>
        <w:jc w:val="left"/>
        <w:widowControl/>
        <w:rPr>
          <w:rFonts w:ascii="黑体" w:hAnsi="黑体" w:eastAsia="黑体" w:cs="仿宋"/>
          <w:bCs/>
          <w:color w:val="auto"/>
          <w:sz w:val="40"/>
          <w:szCs w:val="32"/>
          <w:highlight w:val="none"/>
        </w:rPr>
      </w:pPr>
      <w:r>
        <w:rPr>
          <w:rFonts w:ascii="黑体" w:hAnsi="黑体" w:eastAsia="黑体" w:cs="仿宋"/>
          <w:bCs/>
          <w:color w:val="auto"/>
          <w:sz w:val="40"/>
          <w:szCs w:val="32"/>
          <w:highlight w:val="none"/>
        </w:rPr>
      </w:r>
      <w:r/>
    </w:p>
    <w:p>
      <w:pPr>
        <w:jc w:val="left"/>
        <w:widowControl/>
        <w:rPr>
          <w:rFonts w:ascii="黑体" w:hAnsi="黑体" w:eastAsia="黑体" w:cs="仿宋"/>
          <w:bCs/>
          <w:color w:val="auto"/>
          <w:sz w:val="40"/>
          <w:szCs w:val="32"/>
          <w:highlight w:val="none"/>
        </w:rPr>
      </w:pPr>
      <w:r>
        <w:rPr>
          <w:rFonts w:ascii="黑体" w:hAnsi="黑体" w:eastAsia="黑体" w:cs="仿宋"/>
          <w:bCs/>
          <w:color w:val="auto"/>
          <w:sz w:val="40"/>
          <w:szCs w:val="32"/>
          <w:highlight w:val="none"/>
        </w:rPr>
      </w:r>
      <w:r/>
    </w:p>
    <w:p>
      <w:pPr>
        <w:jc w:val="left"/>
        <w:widowControl/>
        <w:rPr>
          <w:rFonts w:ascii="黑体" w:hAnsi="黑体" w:eastAsia="黑体" w:cs="仿宋"/>
          <w:bCs/>
          <w:color w:val="auto"/>
          <w:sz w:val="40"/>
          <w:szCs w:val="32"/>
          <w:highlight w:val="none"/>
        </w:rPr>
      </w:pPr>
      <w:r>
        <w:rPr>
          <w:rFonts w:ascii="黑体" w:hAnsi="黑体" w:eastAsia="黑体" w:cs="仿宋"/>
          <w:bCs/>
          <w:color w:val="auto"/>
          <w:sz w:val="40"/>
          <w:szCs w:val="32"/>
          <w:highlight w:val="none"/>
        </w:rPr>
      </w:r>
      <w:r/>
    </w:p>
    <w:p>
      <w:pPr>
        <w:jc w:val="left"/>
        <w:widowControl/>
        <w:rPr>
          <w:rFonts w:ascii="黑体" w:hAnsi="黑体" w:eastAsia="黑体" w:cs="仿宋"/>
          <w:bCs/>
          <w:color w:val="auto"/>
          <w:sz w:val="40"/>
          <w:szCs w:val="32"/>
          <w:highlight w:val="none"/>
        </w:rPr>
      </w:pPr>
      <w:r>
        <w:rPr>
          <w:rFonts w:ascii="黑体" w:hAnsi="黑体" w:eastAsia="黑体" w:cs="仿宋"/>
          <w:bCs/>
          <w:color w:val="auto"/>
          <w:sz w:val="40"/>
          <w:szCs w:val="32"/>
          <w:highlight w:val="none"/>
        </w:rPr>
      </w:r>
      <w:r/>
    </w:p>
    <w:p>
      <w:pPr>
        <w:jc w:val="center"/>
        <w:rPr>
          <w:rFonts w:hint="eastAsia"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r>
      <w:r/>
    </w:p>
    <w:p>
      <w:pPr>
        <w:jc w:val="center"/>
        <w:rPr>
          <w:rFonts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t xml:space="preserve">质疑函范本</w:t>
      </w:r>
      <w:r/>
    </w:p>
    <w:p>
      <w:pPr>
        <w:spacing w:line="500" w:lineRule="exact"/>
        <w:rPr>
          <w:rFonts w:ascii="宋体" w:hAnsi="宋体" w:eastAsia="宋体" w:cs="仿宋"/>
          <w:bCs/>
          <w:color w:val="auto"/>
          <w:sz w:val="24"/>
          <w:szCs w:val="24"/>
          <w:highlight w:val="none"/>
        </w:rPr>
      </w:pPr>
      <w:r>
        <w:rPr>
          <w:rFonts w:hint="eastAsia" w:ascii="宋体" w:hAnsi="宋体" w:eastAsia="宋体" w:cs="仿宋"/>
          <w:bCs/>
          <w:color w:val="auto"/>
          <w:sz w:val="24"/>
          <w:szCs w:val="24"/>
          <w:highlight w:val="none"/>
        </w:rPr>
        <w:t xml:space="preserve">致：</w:t>
      </w:r>
      <w:r>
        <w:rPr>
          <w:rFonts w:hint="eastAsia" w:ascii="宋体" w:hAnsi="宋体" w:eastAsia="宋体" w:cs="仿宋"/>
          <w:color w:val="auto"/>
          <w:sz w:val="24"/>
          <w:szCs w:val="24"/>
          <w:highlight w:val="none"/>
          <w:u w:val="single"/>
        </w:rPr>
        <w:t xml:space="preserve">                                                                 </w:t>
      </w:r>
      <w:r/>
    </w:p>
    <w:p>
      <w:pPr>
        <w:spacing w:line="500" w:lineRule="exact"/>
        <w:rPr>
          <w:rFonts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一、质疑供应商基本信息</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质疑供应商：</w:t>
      </w: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地址：</w:t>
      </w:r>
      <w:r>
        <w:rPr>
          <w:rFonts w:hint="eastAsia" w:ascii="宋体" w:hAnsi="宋体" w:eastAsia="宋体" w:cs="仿宋"/>
          <w:color w:val="auto"/>
          <w:sz w:val="24"/>
          <w:szCs w:val="24"/>
          <w:highlight w:val="none"/>
          <w:u w:val="single"/>
        </w:rPr>
        <w:t xml:space="preserve">                             </w:t>
      </w:r>
      <w:r>
        <w:rPr>
          <w:rFonts w:hint="eastAsia" w:ascii="宋体" w:hAnsi="宋体" w:eastAsia="宋体" w:cs="仿宋"/>
          <w:color w:val="auto"/>
          <w:sz w:val="24"/>
          <w:szCs w:val="24"/>
          <w:highlight w:val="none"/>
        </w:rPr>
        <w:t xml:space="preserve">邮编：</w:t>
      </w: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联系人：</w:t>
      </w:r>
      <w:r>
        <w:rPr>
          <w:rFonts w:hint="eastAsia" w:ascii="宋体" w:hAnsi="宋体" w:eastAsia="宋体" w:cs="仿宋"/>
          <w:color w:val="auto"/>
          <w:sz w:val="24"/>
          <w:szCs w:val="24"/>
          <w:highlight w:val="none"/>
          <w:u w:val="single"/>
        </w:rPr>
        <w:t xml:space="preserve">                      </w:t>
      </w:r>
      <w:r>
        <w:rPr>
          <w:rFonts w:hint="eastAsia" w:ascii="宋体" w:hAnsi="宋体" w:eastAsia="宋体" w:cs="仿宋"/>
          <w:color w:val="auto"/>
          <w:sz w:val="24"/>
          <w:szCs w:val="24"/>
          <w:highlight w:val="none"/>
        </w:rPr>
        <w:t xml:space="preserve">联系电话：</w:t>
      </w: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授权代表：</w:t>
      </w: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联系电话：</w:t>
      </w: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地址：</w:t>
      </w:r>
      <w:r>
        <w:rPr>
          <w:rFonts w:ascii="宋体" w:hAnsi="宋体" w:eastAsia="宋体" w:cs="仿宋"/>
          <w:color w:val="auto"/>
          <w:sz w:val="24"/>
          <w:szCs w:val="24"/>
          <w:highlight w:val="none"/>
        </w:rPr>
        <w:t xml:space="preserve"> </w:t>
      </w:r>
      <w:r>
        <w:rPr>
          <w:rFonts w:hint="eastAsia" w:ascii="宋体" w:hAnsi="宋体" w:eastAsia="宋体" w:cs="仿宋"/>
          <w:color w:val="auto"/>
          <w:sz w:val="24"/>
          <w:szCs w:val="24"/>
          <w:highlight w:val="none"/>
          <w:u w:val="single"/>
        </w:rPr>
        <w:t xml:space="preserve">                        </w:t>
      </w:r>
      <w:r>
        <w:rPr>
          <w:rFonts w:hint="eastAsia" w:ascii="宋体" w:hAnsi="宋体" w:eastAsia="宋体" w:cs="仿宋"/>
          <w:color w:val="auto"/>
          <w:sz w:val="24"/>
          <w:szCs w:val="24"/>
          <w:highlight w:val="none"/>
        </w:rPr>
        <w:t xml:space="preserve">邮编：</w:t>
      </w:r>
      <w:r>
        <w:rPr>
          <w:rFonts w:hint="eastAsia" w:ascii="宋体" w:hAnsi="宋体" w:eastAsia="宋体" w:cs="仿宋"/>
          <w:color w:val="auto"/>
          <w:sz w:val="24"/>
          <w:szCs w:val="24"/>
          <w:highlight w:val="none"/>
          <w:u w:val="single"/>
        </w:rPr>
        <w:t xml:space="preserve">                                </w:t>
      </w:r>
      <w:r/>
    </w:p>
    <w:p>
      <w:pPr>
        <w:spacing w:line="500" w:lineRule="exact"/>
        <w:rPr>
          <w:rFonts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二、质疑项目基本情况</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质疑项目的名称：</w:t>
      </w: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质疑项目的编号：</w:t>
      </w:r>
      <w:r>
        <w:rPr>
          <w:rFonts w:hint="eastAsia" w:ascii="宋体" w:hAnsi="宋体" w:eastAsia="宋体" w:cs="仿宋"/>
          <w:color w:val="auto"/>
          <w:sz w:val="24"/>
          <w:szCs w:val="24"/>
          <w:highlight w:val="none"/>
          <w:u w:val="single"/>
        </w:rPr>
        <w:t xml:space="preserve">                         </w:t>
      </w:r>
      <w:r>
        <w:rPr>
          <w:rFonts w:hint="eastAsia" w:ascii="宋体" w:hAnsi="宋体" w:eastAsia="宋体" w:cs="仿宋"/>
          <w:color w:val="auto"/>
          <w:sz w:val="24"/>
          <w:szCs w:val="24"/>
          <w:highlight w:val="none"/>
        </w:rPr>
        <w:t xml:space="preserve">包号：</w:t>
      </w: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采购人名称：</w:t>
      </w: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采购文件获取日期：</w:t>
      </w:r>
      <w:r>
        <w:rPr>
          <w:rFonts w:hint="eastAsia" w:ascii="宋体" w:hAnsi="宋体" w:eastAsia="宋体" w:cs="仿宋"/>
          <w:color w:val="auto"/>
          <w:sz w:val="24"/>
          <w:szCs w:val="24"/>
          <w:highlight w:val="none"/>
          <w:u w:val="single"/>
        </w:rPr>
        <w:t xml:space="preserve">                                                   </w:t>
      </w:r>
      <w:r/>
    </w:p>
    <w:p>
      <w:pPr>
        <w:spacing w:line="500" w:lineRule="exact"/>
        <w:rPr>
          <w:rFonts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三、质疑事项具体内容</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质疑事项1：</w:t>
      </w: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事实依据：</w:t>
      </w: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法律依据：</w:t>
      </w: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质疑事项2</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w:t>
      </w:r>
      <w:r/>
    </w:p>
    <w:p>
      <w:pPr>
        <w:spacing w:line="500" w:lineRule="exact"/>
        <w:rPr>
          <w:rFonts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四、与质疑事项相关的质疑请求</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请求：</w:t>
      </w:r>
      <w:r>
        <w:rPr>
          <w:rFonts w:hint="eastAsia" w:ascii="宋体" w:hAnsi="宋体" w:eastAsia="宋体" w:cs="仿宋"/>
          <w:color w:val="auto"/>
          <w:sz w:val="24"/>
          <w:szCs w:val="24"/>
          <w:highlight w:val="none"/>
          <w:u w:val="single"/>
        </w:rPr>
        <w:t xml:space="preserve">                                                                </w:t>
      </w:r>
      <w:r/>
    </w:p>
    <w:p>
      <w:pPr>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签字（签章）：                   公章：                      </w:t>
      </w:r>
      <w:r/>
    </w:p>
    <w:p>
      <w:pPr>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日期：    </w:t>
      </w:r>
      <w:r/>
    </w:p>
    <w:p>
      <w:pPr>
        <w:spacing w:line="500" w:lineRule="exact"/>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质疑函制作说明：</w:t>
      </w:r>
      <w:r/>
    </w:p>
    <w:p>
      <w:pPr>
        <w:ind w:firstLine="480"/>
        <w:jc w:val="left"/>
        <w:spacing w:line="500" w:lineRule="exact"/>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1.供应商提出质疑时，应提交质疑函和必要的证明材料。</w:t>
      </w:r>
      <w:r/>
    </w:p>
    <w:p>
      <w:pPr>
        <w:ind w:firstLine="480"/>
        <w:jc w:val="left"/>
        <w:spacing w:line="500" w:lineRule="exact"/>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5.质疑函的质疑请求应与质疑事项相关。</w:t>
      </w:r>
      <w:r/>
    </w:p>
    <w:p>
      <w:pPr>
        <w:ind w:firstLine="480"/>
        <w:jc w:val="left"/>
        <w:spacing w:line="500" w:lineRule="exact"/>
        <w:widowControl/>
        <w:rPr>
          <w:color w:val="auto"/>
          <w:sz w:val="24"/>
          <w:szCs w:val="24"/>
          <w:highlight w:val="none"/>
        </w:rPr>
      </w:pPr>
      <w:r>
        <w:rPr>
          <w:rFonts w:hint="eastAsia" w:ascii="宋体" w:hAnsi="宋体" w:eastAsia="宋体" w:cs="Times New Roman"/>
          <w:b/>
          <w:color w:val="auto"/>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pStyle w:val="1035"/>
        <w:ind w:firstLine="420"/>
        <w:rPr>
          <w:color w:val="auto"/>
          <w:highlight w:val="none"/>
        </w:rPr>
      </w:pPr>
      <w:r>
        <w:rPr>
          <w:color w:val="auto"/>
          <w:highlight w:val="none"/>
        </w:rPr>
      </w:r>
      <w:r/>
    </w:p>
    <w:p>
      <w:pPr>
        <w:rPr>
          <w:b/>
          <w:bCs/>
          <w:color w:val="auto"/>
          <w:sz w:val="24"/>
          <w:highlight w:val="none"/>
        </w:rPr>
      </w:pPr>
      <w:r>
        <w:rPr>
          <w:b/>
          <w:bCs/>
          <w:color w:val="auto"/>
          <w:sz w:val="24"/>
          <w:highlight w:val="none"/>
        </w:rPr>
      </w:r>
      <w:bookmarkEnd w:id="32"/>
      <w:r/>
      <w:r/>
    </w:p>
    <w:sectPr>
      <w:footnotePr/>
      <w:endnotePr/>
      <w:type w:val="nextPage"/>
      <w:pgSz w:w="11906" w:h="16838" w:orient="portrait"/>
      <w:pgMar w:top="1134" w:right="1134" w:bottom="1134" w:left="1134" w:header="720" w:footer="72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Symbol">
    <w:panose1 w:val="05050102010706020507"/>
  </w:font>
  <w:font w:name="Wingdings">
    <w:panose1 w:val="05000000000000000000"/>
  </w:font>
  <w:font w:name="楷体_GB2312">
    <w:panose1 w:val="02010609060101010101"/>
  </w:font>
  <w:font w:name="Cambria">
    <w:panose1 w:val="02040503050406030204"/>
  </w:font>
  <w:font w:name="Courier New">
    <w:panose1 w:val="02070309020205020404"/>
  </w:font>
  <w:font w:name="金山简黑体">
    <w:panose1 w:val="020B0503020202020204"/>
  </w:font>
  <w:font w:name="仿宋_GB2312">
    <w:panose1 w:val="02010609060101010101"/>
  </w:font>
  <w:font w:name="Verdana">
    <w:panose1 w:val="020B0604030504040204"/>
  </w:font>
  <w:font w:name="华文中宋">
    <w:panose1 w:val="02010600040101010101"/>
  </w:font>
  <w:font w:name="黑体">
    <w:panose1 w:val="02010609060101010101"/>
  </w:font>
  <w:font w:name="Batang">
    <w:panose1 w:val="02010600040101010101"/>
  </w:font>
  <w:font w:name="Calibri">
    <w:panose1 w:val="020F0502020204030204"/>
  </w:font>
  <w:font w:name="微软雅黑">
    <w:panose1 w:val="020B0503020204020204"/>
  </w:font>
  <w:font w:name="MS Mincho">
    <w:panose1 w:val="02020603050405090304"/>
  </w:font>
  <w:font w:name="Tahoma">
    <w:panose1 w:val="020B060403050404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ind w:firstLine="360"/>
      <w:jc w:val="center"/>
      <w:rPr>
        <w:rFonts w:hint="eastAsia"/>
      </w:rPr>
    </w:pPr>
    <w:r>
      <w:t xml:space="preserve">第</w:t>
    </w:r>
    <w:r>
      <w:fldChar w:fldCharType="begin"/>
    </w:r>
    <w:r>
      <w:instrText xml:space="preserve"> PAGE  \* Arabic  \* MERGEFORMAT </w:instrText>
    </w:r>
    <w:r>
      <w:fldChar w:fldCharType="separate"/>
    </w:r>
    <w:r>
      <w:t xml:space="preserve">2</w:t>
    </w:r>
    <w:r>
      <w:fldChar w:fldCharType="end"/>
    </w:r>
    <w:r>
      <w:t xml:space="preserve">页</w:t>
    </w:r>
    <w:r>
      <w:rPr>
        <w:rFonts w:hint="eastAsia"/>
      </w:rPr>
      <w:t xml:space="preserve"> 共</w:t>
    </w:r>
    <w:r>
      <w:fldChar w:fldCharType="begin"/>
    </w:r>
    <w:r>
      <w:instrText xml:space="preserve"> </w:instrText>
    </w:r>
    <w:r>
      <w:rPr>
        <w:rFonts w:hint="eastAsia"/>
      </w:rPr>
      <w:instrText xml:space="preserve">NUMPAGES  \* Arabic  \* MERGEFORMAT</w:instrText>
    </w:r>
    <w:r>
      <w:instrText xml:space="preserve"> </w:instrText>
    </w:r>
    <w:r>
      <w:fldChar w:fldCharType="separate"/>
    </w:r>
    <w:r>
      <w:t xml:space="preserve">95</w:t>
    </w:r>
    <w:r>
      <w:fldChar w:fldCharType="end"/>
    </w:r>
    <w:r>
      <w:rPr>
        <w:rFonts w:hint="eastAsia"/>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ind w:firstLine="420"/>
      <w:rPr>
        <w:rStyle w:val="1063"/>
        <w:sz w:val="21"/>
      </w:rPr>
      <w:framePr w:wrap="around" w:vAnchor="text" w:hAnchor="margin" w:xAlign="center" w:y="1"/>
    </w:pPr>
    <w:r>
      <w:rPr>
        <w:sz w:val="21"/>
      </w:rPr>
      <w:fldChar w:fldCharType="begin"/>
    </w:r>
    <w:r>
      <w:rPr>
        <w:rStyle w:val="1063"/>
        <w:sz w:val="21"/>
      </w:rPr>
      <w:instrText xml:space="preserve">PAGE  </w:instrText>
    </w:r>
    <w:r>
      <w:rPr>
        <w:sz w:val="21"/>
      </w:rPr>
      <w:fldChar w:fldCharType="separate"/>
    </w:r>
    <w:r>
      <w:rPr>
        <w:rStyle w:val="1063"/>
        <w:sz w:val="21"/>
      </w:rPr>
      <w:t xml:space="preserve">34</w:t>
    </w:r>
    <w:r>
      <w:rPr>
        <w:sz w:val="21"/>
      </w:rPr>
      <w:fldChar w:fldCharType="end"/>
    </w:r>
    <w:r/>
  </w:p>
  <w:p>
    <w:pPr>
      <w:pStyle w:val="1043"/>
      <w:ind w:firstLine="420"/>
      <w:rPr>
        <w:sz w:val="21"/>
      </w:rPr>
    </w:pPr>
    <w:r>
      <w:rPr>
        <w:sz w:val="21"/>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ind w:firstLine="360"/>
      <w:rPr>
        <w:rFonts w:hint="eastAsia"/>
      </w:rPr>
    </w:pPr>
    <w:r>
      <w:rPr>
        <w:rFonts w:hint="eastAsi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ind w:firstLine="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ind w:firstLine="360"/>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ind w:firstLine="360"/>
      <w:jc w:val="both"/>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ind w:firstLine="0"/>
      <w:jc w:val="both"/>
      <w:rPr>
        <w:color w:val="ff0000"/>
      </w:rPr>
    </w:pPr>
    <w:r>
      <w:rPr>
        <w:rFonts w:hint="eastAsia"/>
      </w:rPr>
      <w:t xml:space="preserve">                                                                  </w:t>
    </w:r>
    <w:r>
      <w:rPr>
        <w:rFonts w:hint="eastAsia"/>
        <w:lang w:val="en-US" w:eastAsia="zh-CN"/>
      </w:rPr>
      <w:t xml:space="preserve">                             </w:t>
    </w:r>
    <w:r>
      <w:rPr>
        <w:rFonts w:hint="eastAsia"/>
      </w:rPr>
      <w:t xml:space="preserve"> 公开招标</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15"/>
      <w:isLgl w:val="false"/>
      <w:suff w:val="tab"/>
      <w:lvlText w:val="%1"/>
      <w:lvlJc w:val="left"/>
      <w:pPr>
        <w:ind w:left="284" w:hanging="284"/>
        <w:tabs>
          <w:tab w:val="left" w:pos="360" w:leader="none"/>
        </w:tabs>
      </w:pPr>
      <w:rPr>
        <w:rFonts w:ascii="Times New Roman" w:hAnsi="Times New Roman"/>
        <w:b/>
        <w:i w:val="0"/>
        <w:sz w:val="28"/>
      </w:rPr>
    </w:lvl>
    <w:lvl w:ilvl="1">
      <w:start w:val="1"/>
      <w:numFmt w:val="decimal"/>
      <w:pStyle w:val="1016"/>
      <w:isLgl w:val="false"/>
      <w:suff w:val="tab"/>
      <w:lvlText w:val="%1.%2"/>
      <w:lvlJc w:val="left"/>
      <w:pPr>
        <w:ind w:left="1021" w:hanging="596"/>
        <w:tabs>
          <w:tab w:val="left" w:pos="1021" w:leader="none"/>
        </w:tabs>
      </w:pPr>
      <w:rPr>
        <w:rFonts w:ascii="Times New Roman" w:hAnsi="Times New Roman"/>
        <w:b/>
        <w:i w:val="0"/>
        <w:sz w:val="28"/>
      </w:rPr>
    </w:lvl>
    <w:lvl w:ilvl="2">
      <w:start w:val="1"/>
      <w:numFmt w:val="decimal"/>
      <w:pStyle w:val="1017"/>
      <w:isLgl w:val="false"/>
      <w:suff w:val="tab"/>
      <w:lvlText w:val="%1.%2.%3"/>
      <w:lvlJc w:val="left"/>
      <w:pPr>
        <w:ind w:left="1588" w:hanging="737"/>
        <w:tabs>
          <w:tab w:val="left" w:pos="1588" w:leader="none"/>
        </w:tabs>
      </w:pPr>
      <w:rPr>
        <w:rFonts w:ascii="Times New Roman" w:hAnsi="Times New Roman"/>
        <w:b/>
        <w:i w:val="0"/>
        <w:sz w:val="24"/>
      </w:rPr>
    </w:lvl>
    <w:lvl w:ilvl="3">
      <w:start w:val="1"/>
      <w:numFmt w:val="decimal"/>
      <w:pStyle w:val="1018"/>
      <w:isLgl w:val="false"/>
      <w:suff w:val="tab"/>
      <w:lvlText w:val="%1.%2.%3.%4"/>
      <w:lvlJc w:val="left"/>
      <w:pPr>
        <w:ind w:left="2155" w:hanging="1078"/>
        <w:tabs>
          <w:tab w:val="left" w:pos="2155" w:leader="none"/>
        </w:tabs>
      </w:pPr>
      <w:rPr>
        <w:rFonts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3" w:default="1">
    <w:name w:val="Normal"/>
    <w:next w:val="845"/>
    <w:link w:val="1120"/>
    <w:uiPriority w:val="0"/>
    <w:qFormat/>
    <w:pPr>
      <w:ind w:firstLine="922"/>
      <w:jc w:val="both"/>
      <w:spacing w:line="360" w:lineRule="auto"/>
      <w:widowControl w:val="off"/>
    </w:pPr>
    <w:rPr>
      <w:rFonts w:hint="default" w:ascii="Times New Roman" w:hAnsi="Times New Roman" w:eastAsia="宋体" w:cs="Times New Roman"/>
      <w:sz w:val="21"/>
      <w:szCs w:val="24"/>
      <w:lang w:val="en-US" w:eastAsia="zh-CN" w:bidi="ar-SA"/>
    </w:rPr>
  </w:style>
  <w:style w:type="paragraph" w:styleId="834">
    <w:name w:val="Heading 1"/>
    <w:basedOn w:val="833"/>
    <w:next w:val="833"/>
    <w:link w:val="867"/>
    <w:uiPriority w:val="9"/>
    <w:qFormat/>
    <w:pPr>
      <w:keepLines/>
      <w:keepNext/>
      <w:spacing w:before="480" w:after="200"/>
      <w:outlineLvl w:val="0"/>
    </w:pPr>
    <w:rPr>
      <w:rFonts w:ascii="Arial" w:hAnsi="Arial" w:eastAsia="Arial" w:cs="Arial"/>
      <w:sz w:val="40"/>
      <w:szCs w:val="40"/>
    </w:rPr>
  </w:style>
  <w:style w:type="paragraph" w:styleId="835">
    <w:name w:val="Heading 2"/>
    <w:basedOn w:val="833"/>
    <w:next w:val="833"/>
    <w:link w:val="868"/>
    <w:uiPriority w:val="9"/>
    <w:unhideWhenUsed/>
    <w:qFormat/>
    <w:pPr>
      <w:keepLines/>
      <w:keepNext/>
      <w:spacing w:before="360" w:after="200"/>
      <w:outlineLvl w:val="1"/>
    </w:pPr>
    <w:rPr>
      <w:rFonts w:ascii="Arial" w:hAnsi="Arial" w:eastAsia="Arial" w:cs="Arial"/>
      <w:sz w:val="34"/>
    </w:rPr>
  </w:style>
  <w:style w:type="paragraph" w:styleId="836">
    <w:name w:val="Heading 3"/>
    <w:basedOn w:val="833"/>
    <w:next w:val="833"/>
    <w:link w:val="869"/>
    <w:uiPriority w:val="9"/>
    <w:unhideWhenUsed/>
    <w:qFormat/>
    <w:pPr>
      <w:keepLines/>
      <w:keepNext/>
      <w:spacing w:before="320" w:after="200"/>
      <w:outlineLvl w:val="2"/>
    </w:pPr>
    <w:rPr>
      <w:rFonts w:ascii="Arial" w:hAnsi="Arial" w:eastAsia="Arial" w:cs="Arial"/>
      <w:sz w:val="30"/>
      <w:szCs w:val="30"/>
    </w:rPr>
  </w:style>
  <w:style w:type="paragraph" w:styleId="837">
    <w:name w:val="Heading 4"/>
    <w:basedOn w:val="833"/>
    <w:next w:val="833"/>
    <w:link w:val="870"/>
    <w:uiPriority w:val="9"/>
    <w:unhideWhenUsed/>
    <w:qFormat/>
    <w:pPr>
      <w:keepLines/>
      <w:keepNext/>
      <w:spacing w:before="320" w:after="200"/>
      <w:outlineLvl w:val="3"/>
    </w:pPr>
    <w:rPr>
      <w:rFonts w:ascii="Arial" w:hAnsi="Arial" w:eastAsia="Arial" w:cs="Arial"/>
      <w:b/>
      <w:bCs/>
      <w:sz w:val="26"/>
      <w:szCs w:val="26"/>
    </w:rPr>
  </w:style>
  <w:style w:type="paragraph" w:styleId="838">
    <w:name w:val="Heading 5"/>
    <w:basedOn w:val="833"/>
    <w:next w:val="833"/>
    <w:link w:val="871"/>
    <w:uiPriority w:val="9"/>
    <w:unhideWhenUsed/>
    <w:qFormat/>
    <w:pPr>
      <w:keepLines/>
      <w:keepNext/>
      <w:spacing w:before="320" w:after="200"/>
      <w:outlineLvl w:val="4"/>
    </w:pPr>
    <w:rPr>
      <w:rFonts w:ascii="Arial" w:hAnsi="Arial" w:eastAsia="Arial" w:cs="Arial"/>
      <w:b/>
      <w:bCs/>
      <w:sz w:val="24"/>
      <w:szCs w:val="24"/>
    </w:rPr>
  </w:style>
  <w:style w:type="paragraph" w:styleId="839">
    <w:name w:val="Heading 6"/>
    <w:basedOn w:val="833"/>
    <w:next w:val="833"/>
    <w:link w:val="872"/>
    <w:uiPriority w:val="9"/>
    <w:unhideWhenUsed/>
    <w:qFormat/>
    <w:pPr>
      <w:keepLines/>
      <w:keepNext/>
      <w:spacing w:before="320" w:after="200"/>
      <w:outlineLvl w:val="5"/>
    </w:pPr>
    <w:rPr>
      <w:rFonts w:ascii="Arial" w:hAnsi="Arial" w:eastAsia="Arial" w:cs="Arial"/>
      <w:b/>
      <w:bCs/>
      <w:sz w:val="22"/>
      <w:szCs w:val="22"/>
    </w:rPr>
  </w:style>
  <w:style w:type="paragraph" w:styleId="840">
    <w:name w:val="Heading 7"/>
    <w:basedOn w:val="833"/>
    <w:next w:val="833"/>
    <w:link w:val="873"/>
    <w:uiPriority w:val="9"/>
    <w:unhideWhenUsed/>
    <w:qFormat/>
    <w:pPr>
      <w:keepLines/>
      <w:keepNext/>
      <w:spacing w:before="320" w:after="200"/>
      <w:outlineLvl w:val="6"/>
    </w:pPr>
    <w:rPr>
      <w:rFonts w:ascii="Arial" w:hAnsi="Arial" w:eastAsia="Arial" w:cs="Arial"/>
      <w:b/>
      <w:bCs/>
      <w:i/>
      <w:iCs/>
      <w:sz w:val="22"/>
      <w:szCs w:val="22"/>
    </w:rPr>
  </w:style>
  <w:style w:type="paragraph" w:styleId="841">
    <w:name w:val="Heading 8"/>
    <w:basedOn w:val="833"/>
    <w:next w:val="833"/>
    <w:link w:val="874"/>
    <w:uiPriority w:val="9"/>
    <w:unhideWhenUsed/>
    <w:qFormat/>
    <w:pPr>
      <w:keepLines/>
      <w:keepNext/>
      <w:spacing w:before="320" w:after="200"/>
      <w:outlineLvl w:val="7"/>
    </w:pPr>
    <w:rPr>
      <w:rFonts w:ascii="Arial" w:hAnsi="Arial" w:eastAsia="Arial" w:cs="Arial"/>
      <w:i/>
      <w:iCs/>
      <w:sz w:val="22"/>
      <w:szCs w:val="22"/>
    </w:rPr>
  </w:style>
  <w:style w:type="paragraph" w:styleId="842">
    <w:name w:val="Heading 9"/>
    <w:basedOn w:val="833"/>
    <w:next w:val="833"/>
    <w:link w:val="875"/>
    <w:uiPriority w:val="9"/>
    <w:unhideWhenUsed/>
    <w:qFormat/>
    <w:pPr>
      <w:keepLines/>
      <w:keepNext/>
      <w:spacing w:before="320" w:after="200"/>
      <w:outlineLvl w:val="8"/>
    </w:pPr>
    <w:rPr>
      <w:rFonts w:ascii="Arial" w:hAnsi="Arial" w:eastAsia="Arial" w:cs="Arial"/>
      <w:i/>
      <w:iCs/>
      <w:sz w:val="21"/>
      <w:szCs w:val="21"/>
    </w:rPr>
  </w:style>
  <w:style w:type="character" w:styleId="843" w:default="1">
    <w:name w:val="Default Paragraph Font"/>
    <w:uiPriority w:val="1"/>
    <w:semiHidden/>
    <w:unhideWhenUsed/>
    <w:qFormat/>
  </w:style>
  <w:style w:type="table" w:styleId="844" w:default="1">
    <w:name w:val="Normal Table"/>
    <w:uiPriority w:val="99"/>
    <w:semiHidden/>
    <w:unhideWhenUsed/>
    <w:qFormat/>
    <w:tblPr>
      <w:tblCellMar>
        <w:left w:w="108" w:type="dxa"/>
        <w:top w:w="0" w:type="dxa"/>
        <w:right w:w="108" w:type="dxa"/>
        <w:bottom w:w="0" w:type="dxa"/>
      </w:tblCellMar>
    </w:tblPr>
  </w:style>
  <w:style w:type="paragraph" w:styleId="845" w:customStyle="1">
    <w:name w:val="Default"/>
    <w:link w:val="1078"/>
    <w:uiPriority w:val="99"/>
    <w:qFormat/>
    <w:pPr>
      <w:widowControl w:val="off"/>
    </w:pPr>
    <w:rPr>
      <w:rFonts w:hint="default" w:ascii="MS Mincho" w:hAnsi="Calibri" w:eastAsia="宋体" w:cs="Times New Roman"/>
      <w:color w:val="000000"/>
      <w:sz w:val="21"/>
      <w:szCs w:val="24"/>
      <w:lang w:val="en-US" w:eastAsia="zh-CN" w:bidi="ar-SA"/>
    </w:rPr>
  </w:style>
  <w:style w:type="paragraph" w:styleId="846">
    <w:name w:val="toc 7"/>
    <w:basedOn w:val="833"/>
    <w:next w:val="833"/>
    <w:uiPriority w:val="39"/>
    <w:unhideWhenUsed/>
    <w:qFormat/>
    <w:pPr>
      <w:ind w:left="1701" w:right="0" w:firstLine="0"/>
      <w:spacing w:after="57"/>
    </w:pPr>
  </w:style>
  <w:style w:type="paragraph" w:styleId="847">
    <w:name w:val="Caption"/>
    <w:basedOn w:val="833"/>
    <w:next w:val="83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48">
    <w:name w:val="toc 5"/>
    <w:basedOn w:val="833"/>
    <w:next w:val="833"/>
    <w:uiPriority w:val="39"/>
    <w:unhideWhenUsed/>
    <w:qFormat/>
    <w:pPr>
      <w:ind w:left="1134" w:right="0" w:firstLine="0"/>
      <w:spacing w:after="57"/>
    </w:pPr>
  </w:style>
  <w:style w:type="paragraph" w:styleId="849">
    <w:name w:val="toc 3"/>
    <w:basedOn w:val="833"/>
    <w:next w:val="833"/>
    <w:uiPriority w:val="39"/>
    <w:unhideWhenUsed/>
    <w:qFormat/>
    <w:pPr>
      <w:ind w:left="567" w:right="0" w:firstLine="0"/>
      <w:spacing w:after="57"/>
    </w:pPr>
  </w:style>
  <w:style w:type="paragraph" w:styleId="850">
    <w:name w:val="toc 8"/>
    <w:basedOn w:val="833"/>
    <w:next w:val="833"/>
    <w:uiPriority w:val="39"/>
    <w:unhideWhenUsed/>
    <w:qFormat/>
    <w:pPr>
      <w:ind w:left="1984" w:right="0" w:firstLine="0"/>
      <w:spacing w:after="57"/>
    </w:pPr>
  </w:style>
  <w:style w:type="paragraph" w:styleId="851">
    <w:name w:val="endnote text"/>
    <w:basedOn w:val="833"/>
    <w:link w:val="1013"/>
    <w:uiPriority w:val="99"/>
    <w:semiHidden/>
    <w:unhideWhenUsed/>
    <w:qFormat/>
    <w:pPr>
      <w:spacing w:after="0" w:line="240" w:lineRule="auto"/>
    </w:pPr>
    <w:rPr>
      <w:sz w:val="20"/>
    </w:rPr>
  </w:style>
  <w:style w:type="paragraph" w:styleId="852">
    <w:name w:val="Footer"/>
    <w:basedOn w:val="833"/>
    <w:link w:val="886"/>
    <w:uiPriority w:val="99"/>
    <w:unhideWhenUsed/>
    <w:qFormat/>
    <w:pPr>
      <w:spacing w:after="0" w:line="240" w:lineRule="auto"/>
      <w:tabs>
        <w:tab w:val="center" w:pos="7143" w:leader="none"/>
        <w:tab w:val="right" w:pos="14287" w:leader="none"/>
      </w:tabs>
    </w:pPr>
  </w:style>
  <w:style w:type="paragraph" w:styleId="853">
    <w:name w:val="Header"/>
    <w:basedOn w:val="833"/>
    <w:link w:val="884"/>
    <w:uiPriority w:val="99"/>
    <w:unhideWhenUsed/>
    <w:qFormat/>
    <w:pPr>
      <w:spacing w:after="0" w:line="240" w:lineRule="auto"/>
      <w:tabs>
        <w:tab w:val="center" w:pos="7143" w:leader="none"/>
        <w:tab w:val="right" w:pos="14287" w:leader="none"/>
      </w:tabs>
    </w:pPr>
  </w:style>
  <w:style w:type="paragraph" w:styleId="854">
    <w:name w:val="toc 1"/>
    <w:basedOn w:val="833"/>
    <w:next w:val="833"/>
    <w:uiPriority w:val="39"/>
    <w:unhideWhenUsed/>
    <w:qFormat/>
    <w:pPr>
      <w:ind w:left="0" w:right="0" w:firstLine="0"/>
      <w:spacing w:after="57"/>
    </w:pPr>
  </w:style>
  <w:style w:type="paragraph" w:styleId="855">
    <w:name w:val="toc 4"/>
    <w:basedOn w:val="833"/>
    <w:next w:val="833"/>
    <w:uiPriority w:val="39"/>
    <w:unhideWhenUsed/>
    <w:qFormat/>
    <w:pPr>
      <w:ind w:left="850" w:right="0" w:firstLine="0"/>
      <w:spacing w:after="57"/>
    </w:pPr>
  </w:style>
  <w:style w:type="paragraph" w:styleId="856">
    <w:name w:val="Subtitle"/>
    <w:basedOn w:val="833"/>
    <w:next w:val="833"/>
    <w:link w:val="879"/>
    <w:uiPriority w:val="11"/>
    <w:qFormat/>
    <w:pPr>
      <w:spacing w:before="200" w:after="200"/>
    </w:pPr>
    <w:rPr>
      <w:sz w:val="24"/>
      <w:szCs w:val="24"/>
    </w:rPr>
  </w:style>
  <w:style w:type="paragraph" w:styleId="857">
    <w:name w:val="footnote text"/>
    <w:basedOn w:val="833"/>
    <w:link w:val="1012"/>
    <w:uiPriority w:val="99"/>
    <w:semiHidden/>
    <w:unhideWhenUsed/>
    <w:qFormat/>
    <w:pPr>
      <w:spacing w:after="40" w:line="240" w:lineRule="auto"/>
    </w:pPr>
    <w:rPr>
      <w:sz w:val="18"/>
    </w:rPr>
  </w:style>
  <w:style w:type="paragraph" w:styleId="858">
    <w:name w:val="toc 6"/>
    <w:basedOn w:val="833"/>
    <w:next w:val="833"/>
    <w:uiPriority w:val="39"/>
    <w:unhideWhenUsed/>
    <w:qFormat/>
    <w:pPr>
      <w:ind w:left="1417" w:right="0" w:firstLine="0"/>
      <w:spacing w:after="57"/>
    </w:pPr>
  </w:style>
  <w:style w:type="paragraph" w:styleId="859">
    <w:name w:val="table of figures"/>
    <w:basedOn w:val="833"/>
    <w:next w:val="833"/>
    <w:uiPriority w:val="99"/>
    <w:unhideWhenUsed/>
    <w:qFormat/>
    <w:pPr>
      <w:spacing w:after="0" w:afterAutospacing="0"/>
    </w:pPr>
  </w:style>
  <w:style w:type="paragraph" w:styleId="860">
    <w:name w:val="toc 2"/>
    <w:basedOn w:val="833"/>
    <w:next w:val="833"/>
    <w:uiPriority w:val="39"/>
    <w:unhideWhenUsed/>
    <w:qFormat/>
    <w:pPr>
      <w:ind w:left="283" w:right="0" w:firstLine="0"/>
      <w:spacing w:after="57"/>
    </w:pPr>
  </w:style>
  <w:style w:type="paragraph" w:styleId="861">
    <w:name w:val="toc 9"/>
    <w:basedOn w:val="833"/>
    <w:next w:val="833"/>
    <w:uiPriority w:val="39"/>
    <w:unhideWhenUsed/>
    <w:qFormat/>
    <w:pPr>
      <w:ind w:left="2268" w:right="0" w:firstLine="0"/>
      <w:spacing w:after="57"/>
    </w:pPr>
  </w:style>
  <w:style w:type="paragraph" w:styleId="862">
    <w:name w:val="Title"/>
    <w:basedOn w:val="833"/>
    <w:next w:val="833"/>
    <w:link w:val="878"/>
    <w:uiPriority w:val="10"/>
    <w:qFormat/>
    <w:pPr>
      <w:contextualSpacing/>
      <w:spacing w:before="300" w:after="200"/>
    </w:pPr>
    <w:rPr>
      <w:sz w:val="48"/>
      <w:szCs w:val="48"/>
    </w:rPr>
  </w:style>
  <w:style w:type="table" w:styleId="86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4">
    <w:name w:val="endnote reference"/>
    <w:uiPriority w:val="99"/>
    <w:semiHidden/>
    <w:unhideWhenUsed/>
    <w:qFormat/>
    <w:rPr>
      <w:vertAlign w:val="superscript"/>
    </w:rPr>
  </w:style>
  <w:style w:type="character" w:styleId="865">
    <w:name w:val="Hyperlink"/>
    <w:uiPriority w:val="99"/>
    <w:unhideWhenUsed/>
    <w:qFormat/>
    <w:rPr>
      <w:color w:val="0000ff" w:themeColor="hyperlink"/>
      <w:u w:val="single"/>
      <w14:textFill>
        <w14:solidFill>
          <w14:schemeClr w14:val="hlink"/>
        </w14:solidFill>
      </w14:textFill>
    </w:rPr>
  </w:style>
  <w:style w:type="character" w:styleId="866">
    <w:name w:val="footnote reference"/>
    <w:uiPriority w:val="99"/>
    <w:unhideWhenUsed/>
    <w:qFormat/>
    <w:rPr>
      <w:vertAlign w:val="superscript"/>
    </w:rPr>
  </w:style>
  <w:style w:type="character" w:styleId="867" w:customStyle="1">
    <w:name w:val="Heading 1 Char"/>
    <w:link w:val="834"/>
    <w:uiPriority w:val="9"/>
    <w:qFormat/>
    <w:rPr>
      <w:rFonts w:ascii="Arial" w:hAnsi="Arial" w:eastAsia="Arial" w:cs="Arial"/>
      <w:sz w:val="40"/>
      <w:szCs w:val="40"/>
    </w:rPr>
  </w:style>
  <w:style w:type="character" w:styleId="868" w:customStyle="1">
    <w:name w:val="Heading 2 Char"/>
    <w:link w:val="835"/>
    <w:uiPriority w:val="9"/>
    <w:qFormat/>
    <w:rPr>
      <w:rFonts w:ascii="Arial" w:hAnsi="Arial" w:eastAsia="Arial" w:cs="Arial"/>
      <w:sz w:val="34"/>
    </w:rPr>
  </w:style>
  <w:style w:type="character" w:styleId="869" w:customStyle="1">
    <w:name w:val="Heading 3 Char"/>
    <w:link w:val="836"/>
    <w:uiPriority w:val="9"/>
    <w:qFormat/>
    <w:rPr>
      <w:rFonts w:ascii="Arial" w:hAnsi="Arial" w:eastAsia="Arial" w:cs="Arial"/>
      <w:sz w:val="30"/>
      <w:szCs w:val="30"/>
    </w:rPr>
  </w:style>
  <w:style w:type="character" w:styleId="870" w:customStyle="1">
    <w:name w:val="Heading 4 Char"/>
    <w:link w:val="837"/>
    <w:uiPriority w:val="9"/>
    <w:qFormat/>
    <w:rPr>
      <w:rFonts w:ascii="Arial" w:hAnsi="Arial" w:eastAsia="Arial" w:cs="Arial"/>
      <w:b/>
      <w:bCs/>
      <w:sz w:val="26"/>
      <w:szCs w:val="26"/>
    </w:rPr>
  </w:style>
  <w:style w:type="character" w:styleId="871" w:customStyle="1">
    <w:name w:val="Heading 5 Char"/>
    <w:link w:val="838"/>
    <w:uiPriority w:val="9"/>
    <w:qFormat/>
    <w:rPr>
      <w:rFonts w:ascii="Arial" w:hAnsi="Arial" w:eastAsia="Arial" w:cs="Arial"/>
      <w:b/>
      <w:bCs/>
      <w:sz w:val="24"/>
      <w:szCs w:val="24"/>
    </w:rPr>
  </w:style>
  <w:style w:type="character" w:styleId="872" w:customStyle="1">
    <w:name w:val="Heading 6 Char"/>
    <w:link w:val="839"/>
    <w:uiPriority w:val="9"/>
    <w:qFormat/>
    <w:rPr>
      <w:rFonts w:ascii="Arial" w:hAnsi="Arial" w:eastAsia="Arial" w:cs="Arial"/>
      <w:b/>
      <w:bCs/>
      <w:sz w:val="22"/>
      <w:szCs w:val="22"/>
    </w:rPr>
  </w:style>
  <w:style w:type="character" w:styleId="873" w:customStyle="1">
    <w:name w:val="Heading 7 Char"/>
    <w:link w:val="840"/>
    <w:uiPriority w:val="9"/>
    <w:qFormat/>
    <w:rPr>
      <w:rFonts w:ascii="Arial" w:hAnsi="Arial" w:eastAsia="Arial" w:cs="Arial"/>
      <w:b/>
      <w:bCs/>
      <w:i/>
      <w:iCs/>
      <w:sz w:val="22"/>
      <w:szCs w:val="22"/>
    </w:rPr>
  </w:style>
  <w:style w:type="character" w:styleId="874" w:customStyle="1">
    <w:name w:val="Heading 8 Char"/>
    <w:link w:val="841"/>
    <w:uiPriority w:val="9"/>
    <w:qFormat/>
    <w:rPr>
      <w:rFonts w:ascii="Arial" w:hAnsi="Arial" w:eastAsia="Arial" w:cs="Arial"/>
      <w:i/>
      <w:iCs/>
      <w:sz w:val="22"/>
      <w:szCs w:val="22"/>
    </w:rPr>
  </w:style>
  <w:style w:type="character" w:styleId="875" w:customStyle="1">
    <w:name w:val="Heading 9 Char"/>
    <w:link w:val="842"/>
    <w:uiPriority w:val="9"/>
    <w:qFormat/>
    <w:rPr>
      <w:rFonts w:ascii="Arial" w:hAnsi="Arial" w:eastAsia="Arial" w:cs="Arial"/>
      <w:i/>
      <w:iCs/>
      <w:sz w:val="21"/>
      <w:szCs w:val="21"/>
    </w:rPr>
  </w:style>
  <w:style w:type="paragraph" w:styleId="876">
    <w:name w:val="List Paragraph"/>
    <w:basedOn w:val="833"/>
    <w:uiPriority w:val="34"/>
    <w:qFormat/>
    <w:pPr>
      <w:contextualSpacing/>
      <w:ind w:left="720"/>
    </w:pPr>
  </w:style>
  <w:style w:type="paragraph" w:styleId="877">
    <w:name w:val="No Spacing"/>
    <w:uiPriority w:val="1"/>
    <w:qFormat/>
    <w:pPr>
      <w:spacing w:before="0" w:after="0" w:line="240" w:lineRule="auto"/>
    </w:pPr>
    <w:rPr>
      <w:rFonts w:hint="default" w:ascii="Times New Roman" w:hAnsi="Times New Roman" w:eastAsia="宋体" w:cs="Times New Roman"/>
    </w:rPr>
  </w:style>
  <w:style w:type="character" w:styleId="878" w:customStyle="1">
    <w:name w:val="Title Char"/>
    <w:link w:val="862"/>
    <w:uiPriority w:val="10"/>
    <w:qFormat/>
    <w:rPr>
      <w:sz w:val="48"/>
      <w:szCs w:val="48"/>
    </w:rPr>
  </w:style>
  <w:style w:type="character" w:styleId="879" w:customStyle="1">
    <w:name w:val="Subtitle Char"/>
    <w:link w:val="856"/>
    <w:uiPriority w:val="11"/>
    <w:qFormat/>
    <w:rPr>
      <w:sz w:val="24"/>
      <w:szCs w:val="24"/>
    </w:rPr>
  </w:style>
  <w:style w:type="paragraph" w:styleId="880">
    <w:name w:val="Quote"/>
    <w:basedOn w:val="833"/>
    <w:next w:val="833"/>
    <w:link w:val="881"/>
    <w:uiPriority w:val="29"/>
    <w:qFormat/>
    <w:pPr>
      <w:ind w:left="720" w:right="720"/>
    </w:pPr>
    <w:rPr>
      <w:i/>
    </w:rPr>
  </w:style>
  <w:style w:type="character" w:styleId="881" w:customStyle="1">
    <w:name w:val="Quote Char"/>
    <w:link w:val="880"/>
    <w:uiPriority w:val="29"/>
    <w:qFormat/>
    <w:rPr>
      <w:i/>
    </w:rPr>
  </w:style>
  <w:style w:type="paragraph" w:styleId="882">
    <w:name w:val="Intense Quote"/>
    <w:basedOn w:val="833"/>
    <w:next w:val="833"/>
    <w:link w:val="88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3" w:customStyle="1">
    <w:name w:val="Intense Quote Char"/>
    <w:link w:val="882"/>
    <w:uiPriority w:val="30"/>
    <w:qFormat/>
    <w:rPr>
      <w:i/>
    </w:rPr>
  </w:style>
  <w:style w:type="character" w:styleId="884" w:customStyle="1">
    <w:name w:val="Header Char"/>
    <w:link w:val="853"/>
    <w:uiPriority w:val="99"/>
    <w:qFormat/>
  </w:style>
  <w:style w:type="character" w:styleId="885" w:customStyle="1">
    <w:name w:val="Footer Char"/>
    <w:link w:val="852"/>
    <w:uiPriority w:val="99"/>
    <w:qFormat/>
  </w:style>
  <w:style w:type="character" w:styleId="886" w:customStyle="1">
    <w:name w:val="Caption Char"/>
    <w:link w:val="852"/>
    <w:uiPriority w:val="99"/>
    <w:qFormat/>
  </w:style>
  <w:style w:type="table" w:styleId="88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3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3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8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8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2" w:customStyle="1">
    <w:name w:val="Footnote Text Char"/>
    <w:link w:val="857"/>
    <w:uiPriority w:val="99"/>
    <w:qFormat/>
    <w:rPr>
      <w:sz w:val="18"/>
    </w:rPr>
  </w:style>
  <w:style w:type="character" w:styleId="1013" w:customStyle="1">
    <w:name w:val="Endnote Text Char"/>
    <w:link w:val="851"/>
    <w:uiPriority w:val="99"/>
    <w:qFormat/>
    <w:rPr>
      <w:sz w:val="20"/>
    </w:rPr>
  </w:style>
  <w:style w:type="paragraph" w:styleId="1014" w:customStyle="1">
    <w:name w:val="TOC Heading"/>
    <w:uiPriority w:val="39"/>
    <w:unhideWhenUsed/>
    <w:qFormat/>
    <w:rPr>
      <w:rFonts w:hint="default" w:ascii="Times New Roman" w:hAnsi="Times New Roman" w:eastAsia="宋体" w:cs="Times New Roman"/>
    </w:rPr>
  </w:style>
  <w:style w:type="paragraph" w:styleId="1015" w:customStyle="1">
    <w:name w:val="标题 11"/>
    <w:basedOn w:val="833"/>
    <w:next w:val="833"/>
    <w:uiPriority w:val="0"/>
    <w:qFormat/>
    <w:pPr>
      <w:numPr>
        <w:ilvl w:val="0"/>
        <w:numId w:val="1"/>
      </w:numPr>
      <w:jc w:val="center"/>
      <w:keepLines/>
      <w:keepNext/>
      <w:outlineLvl w:val="0"/>
    </w:pPr>
    <w:rPr>
      <w:rFonts w:ascii="Times New Roman" w:hAnsi="Times New Roman" w:eastAsia="黑体"/>
      <w:b/>
      <w:sz w:val="36"/>
      <w:szCs w:val="20"/>
    </w:rPr>
  </w:style>
  <w:style w:type="paragraph" w:styleId="1016" w:customStyle="1">
    <w:name w:val="标题 21"/>
    <w:basedOn w:val="833"/>
    <w:next w:val="833"/>
    <w:uiPriority w:val="0"/>
    <w:qFormat/>
    <w:pPr>
      <w:numPr>
        <w:ilvl w:val="1"/>
        <w:numId w:val="1"/>
      </w:numPr>
      <w:keepNext/>
      <w:outlineLvl w:val="1"/>
    </w:pPr>
    <w:rPr>
      <w:rFonts w:eastAsia="黑体"/>
      <w:b/>
      <w:sz w:val="28"/>
      <w:szCs w:val="20"/>
    </w:rPr>
  </w:style>
  <w:style w:type="paragraph" w:styleId="1017" w:customStyle="1">
    <w:name w:val="标题 31"/>
    <w:basedOn w:val="833"/>
    <w:next w:val="833"/>
    <w:link w:val="1021"/>
    <w:uiPriority w:val="0"/>
    <w:qFormat/>
    <w:pPr>
      <w:numPr>
        <w:ilvl w:val="2"/>
        <w:numId w:val="1"/>
      </w:numPr>
      <w:spacing w:before="120" w:line="360" w:lineRule="auto"/>
      <w:tabs>
        <w:tab w:val="left" w:pos="900" w:leader="none"/>
      </w:tabs>
      <w:outlineLvl w:val="2"/>
    </w:pPr>
    <w:rPr>
      <w:rFonts w:eastAsia="黑体"/>
      <w:b/>
      <w:sz w:val="28"/>
      <w:szCs w:val="20"/>
    </w:rPr>
  </w:style>
  <w:style w:type="paragraph" w:styleId="1018" w:customStyle="1">
    <w:name w:val="标题 41"/>
    <w:basedOn w:val="833"/>
    <w:next w:val="833"/>
    <w:uiPriority w:val="0"/>
    <w:qFormat/>
    <w:pPr>
      <w:numPr>
        <w:ilvl w:val="3"/>
        <w:numId w:val="1"/>
      </w:numPr>
      <w:spacing w:before="120" w:line="360" w:lineRule="auto"/>
      <w:outlineLvl w:val="3"/>
    </w:pPr>
    <w:rPr>
      <w:rFonts w:ascii="Arial" w:eastAsia="黑体"/>
      <w:sz w:val="28"/>
      <w:szCs w:val="20"/>
    </w:rPr>
  </w:style>
  <w:style w:type="character" w:styleId="1019" w:customStyle="1">
    <w:name w:val="默认段落字体1"/>
    <w:link w:val="833"/>
    <w:uiPriority w:val="1"/>
    <w:unhideWhenUsed/>
    <w:qFormat/>
  </w:style>
  <w:style w:type="table" w:styleId="1020" w:customStyle="1">
    <w:name w:val="普通表格1"/>
    <w:uiPriority w:val="99"/>
    <w:unhideWhenUsed/>
    <w:qFormat/>
    <w:tblPr/>
  </w:style>
  <w:style w:type="character" w:styleId="1021" w:customStyle="1">
    <w:name w:val="标题 3 Char"/>
    <w:link w:val="1017"/>
    <w:uiPriority w:val="0"/>
    <w:qFormat/>
    <w:rPr>
      <w:rFonts w:eastAsia="黑体"/>
      <w:b/>
      <w:sz w:val="28"/>
    </w:rPr>
  </w:style>
  <w:style w:type="paragraph" w:styleId="1022" w:customStyle="1">
    <w:name w:val="目录 71"/>
    <w:basedOn w:val="833"/>
    <w:next w:val="833"/>
    <w:uiPriority w:val="0"/>
    <w:qFormat/>
    <w:pPr>
      <w:ind w:left="1260"/>
      <w:jc w:val="left"/>
    </w:pPr>
    <w:rPr>
      <w:rFonts w:ascii="Calibri" w:hAnsi="Calibri"/>
      <w:sz w:val="20"/>
      <w:szCs w:val="20"/>
    </w:rPr>
  </w:style>
  <w:style w:type="paragraph" w:styleId="1023" w:customStyle="1">
    <w:name w:val="正文缩进1"/>
    <w:basedOn w:val="833"/>
    <w:next w:val="833"/>
    <w:link w:val="1024"/>
    <w:uiPriority w:val="0"/>
    <w:qFormat/>
    <w:pPr>
      <w:ind w:firstLine="420"/>
    </w:pPr>
    <w:rPr>
      <w:sz w:val="24"/>
    </w:rPr>
  </w:style>
  <w:style w:type="character" w:styleId="1024" w:customStyle="1">
    <w:name w:val="正文缩进 Char"/>
    <w:link w:val="1023"/>
    <w:uiPriority w:val="0"/>
    <w:qFormat/>
    <w:rPr>
      <w:sz w:val="24"/>
      <w:szCs w:val="24"/>
    </w:rPr>
  </w:style>
  <w:style w:type="paragraph" w:styleId="1025" w:customStyle="1">
    <w:name w:val="文档结构图1"/>
    <w:basedOn w:val="833"/>
    <w:uiPriority w:val="0"/>
    <w:semiHidden/>
    <w:qFormat/>
    <w:pPr>
      <w:shd w:val="clear" w:color="auto" w:fill="000080"/>
    </w:pPr>
  </w:style>
  <w:style w:type="paragraph" w:styleId="1026" w:customStyle="1">
    <w:name w:val="批注文字1"/>
    <w:basedOn w:val="833"/>
    <w:link w:val="1027"/>
    <w:uiPriority w:val="0"/>
    <w:qFormat/>
    <w:pPr>
      <w:jc w:val="left"/>
    </w:pPr>
  </w:style>
  <w:style w:type="character" w:styleId="1027" w:customStyle="1">
    <w:name w:val="批注文字 Char"/>
    <w:link w:val="1026"/>
    <w:uiPriority w:val="0"/>
    <w:qFormat/>
    <w:rPr>
      <w:sz w:val="21"/>
      <w:szCs w:val="24"/>
    </w:rPr>
  </w:style>
  <w:style w:type="paragraph" w:styleId="1028" w:customStyle="1">
    <w:name w:val="正文文本 31"/>
    <w:basedOn w:val="833"/>
    <w:uiPriority w:val="0"/>
    <w:qFormat/>
    <w:rPr>
      <w:sz w:val="24"/>
    </w:rPr>
  </w:style>
  <w:style w:type="paragraph" w:styleId="1029" w:customStyle="1">
    <w:name w:val="正文文本1"/>
    <w:basedOn w:val="833"/>
    <w:uiPriority w:val="0"/>
    <w:qFormat/>
    <w:rPr>
      <w:rFonts w:ascii="金山简黑体" w:hAnsi="Courier New" w:eastAsia="金山简黑体"/>
      <w:b/>
      <w:spacing w:val="-8"/>
      <w:sz w:val="44"/>
      <w:szCs w:val="20"/>
    </w:rPr>
  </w:style>
  <w:style w:type="paragraph" w:styleId="1030" w:customStyle="1">
    <w:name w:val="正文文本缩进1"/>
    <w:basedOn w:val="833"/>
    <w:link w:val="1031"/>
    <w:uiPriority w:val="0"/>
    <w:qFormat/>
    <w:pPr>
      <w:ind w:firstLine="301"/>
      <w:spacing w:line="200" w:lineRule="exact"/>
    </w:pPr>
    <w:rPr>
      <w:rFonts w:ascii="宋体" w:hAnsi="Courier New"/>
      <w:spacing w:val="-4"/>
      <w:sz w:val="18"/>
      <w:szCs w:val="20"/>
    </w:rPr>
  </w:style>
  <w:style w:type="character" w:styleId="1031" w:customStyle="1">
    <w:name w:val="正文文本缩进 Char"/>
    <w:link w:val="1030"/>
    <w:uiPriority w:val="0"/>
    <w:qFormat/>
    <w:rPr>
      <w:rFonts w:ascii="宋体" w:hAnsi="Courier New" w:eastAsia="宋体"/>
      <w:spacing w:val="-4"/>
      <w:sz w:val="18"/>
      <w:lang w:val="en-US" w:eastAsia="zh-CN" w:bidi="ar-SA"/>
    </w:rPr>
  </w:style>
  <w:style w:type="paragraph" w:styleId="1032" w:customStyle="1">
    <w:name w:val="索引 411"/>
    <w:basedOn w:val="833"/>
    <w:next w:val="833"/>
    <w:uiPriority w:val="0"/>
    <w:semiHidden/>
    <w:qFormat/>
    <w:pPr>
      <w:ind w:left="600" w:firstLine="480"/>
      <w:spacing w:before="120" w:after="120" w:line="288" w:lineRule="auto"/>
      <w:tabs>
        <w:tab w:val="left" w:pos="1440" w:leader="none"/>
        <w:tab w:val="right" w:pos="8505" w:leader="dot"/>
      </w:tabs>
    </w:pPr>
  </w:style>
  <w:style w:type="paragraph" w:styleId="1033" w:customStyle="1">
    <w:name w:val="目录 51"/>
    <w:basedOn w:val="833"/>
    <w:next w:val="833"/>
    <w:uiPriority w:val="0"/>
    <w:qFormat/>
    <w:pPr>
      <w:ind w:left="840"/>
      <w:jc w:val="left"/>
    </w:pPr>
    <w:rPr>
      <w:rFonts w:ascii="Calibri" w:hAnsi="Calibri"/>
      <w:sz w:val="20"/>
      <w:szCs w:val="20"/>
    </w:rPr>
  </w:style>
  <w:style w:type="paragraph" w:styleId="1034" w:customStyle="1">
    <w:name w:val="目录 31"/>
    <w:basedOn w:val="833"/>
    <w:next w:val="833"/>
    <w:uiPriority w:val="39"/>
    <w:unhideWhenUsed/>
    <w:qFormat/>
    <w:pPr>
      <w:ind w:left="420"/>
      <w:jc w:val="left"/>
    </w:pPr>
    <w:rPr>
      <w:rFonts w:ascii="Calibri" w:hAnsi="Calibri"/>
      <w:sz w:val="20"/>
      <w:szCs w:val="20"/>
    </w:rPr>
  </w:style>
  <w:style w:type="paragraph" w:styleId="1035" w:customStyle="1">
    <w:name w:val="纯文本11"/>
    <w:basedOn w:val="833"/>
    <w:link w:val="1036"/>
    <w:uiPriority w:val="0"/>
    <w:qFormat/>
    <w:rPr>
      <w:rFonts w:ascii="宋体" w:hAnsi="Courier New"/>
      <w:szCs w:val="20"/>
    </w:rPr>
  </w:style>
  <w:style w:type="character" w:styleId="1036" w:customStyle="1">
    <w:name w:val="纯文本 Char"/>
    <w:link w:val="1035"/>
    <w:uiPriority w:val="0"/>
    <w:qFormat/>
    <w:rPr>
      <w:rFonts w:ascii="宋体" w:hAnsi="Courier New" w:eastAsia="宋体"/>
      <w:sz w:val="21"/>
      <w:lang w:val="en-US" w:eastAsia="zh-CN" w:bidi="ar-SA"/>
    </w:rPr>
  </w:style>
  <w:style w:type="paragraph" w:styleId="1037" w:customStyle="1">
    <w:name w:val="目录 81"/>
    <w:basedOn w:val="833"/>
    <w:next w:val="833"/>
    <w:uiPriority w:val="0"/>
    <w:qFormat/>
    <w:pPr>
      <w:ind w:left="1470"/>
      <w:jc w:val="left"/>
    </w:pPr>
    <w:rPr>
      <w:rFonts w:ascii="Calibri" w:hAnsi="Calibri"/>
      <w:sz w:val="20"/>
      <w:szCs w:val="20"/>
    </w:rPr>
  </w:style>
  <w:style w:type="paragraph" w:styleId="1038" w:customStyle="1">
    <w:name w:val="日期1"/>
    <w:basedOn w:val="833"/>
    <w:next w:val="833"/>
    <w:link w:val="1039"/>
    <w:uiPriority w:val="0"/>
    <w:qFormat/>
    <w:pPr>
      <w:ind w:left="100"/>
    </w:pPr>
  </w:style>
  <w:style w:type="character" w:styleId="1039" w:customStyle="1">
    <w:name w:val="日期 Char"/>
    <w:link w:val="1038"/>
    <w:uiPriority w:val="0"/>
    <w:qFormat/>
    <w:rPr>
      <w:sz w:val="21"/>
      <w:szCs w:val="24"/>
    </w:rPr>
  </w:style>
  <w:style w:type="paragraph" w:styleId="1040" w:customStyle="1">
    <w:name w:val="正文文本缩进 21"/>
    <w:basedOn w:val="833"/>
    <w:link w:val="1041"/>
    <w:uiPriority w:val="0"/>
    <w:qFormat/>
    <w:pPr>
      <w:ind w:left="420"/>
      <w:spacing w:after="120" w:line="480" w:lineRule="auto"/>
    </w:pPr>
  </w:style>
  <w:style w:type="character" w:styleId="1041" w:customStyle="1">
    <w:name w:val="正文文本缩进 2 Char"/>
    <w:link w:val="1040"/>
    <w:uiPriority w:val="0"/>
    <w:qFormat/>
    <w:rPr>
      <w:sz w:val="21"/>
      <w:szCs w:val="24"/>
    </w:rPr>
  </w:style>
  <w:style w:type="paragraph" w:styleId="1042" w:customStyle="1">
    <w:name w:val="批注框文本1"/>
    <w:basedOn w:val="833"/>
    <w:uiPriority w:val="0"/>
    <w:semiHidden/>
    <w:qFormat/>
    <w:rPr>
      <w:sz w:val="18"/>
      <w:szCs w:val="18"/>
    </w:rPr>
  </w:style>
  <w:style w:type="paragraph" w:styleId="1043" w:customStyle="1">
    <w:name w:val="页脚1"/>
    <w:basedOn w:val="833"/>
    <w:link w:val="1044"/>
    <w:uiPriority w:val="99"/>
    <w:qFormat/>
    <w:pPr>
      <w:jc w:val="left"/>
      <w:tabs>
        <w:tab w:val="center" w:pos="4153" w:leader="none"/>
        <w:tab w:val="right" w:pos="8306" w:leader="none"/>
      </w:tabs>
    </w:pPr>
    <w:rPr>
      <w:rFonts w:ascii="宋体" w:hAnsi="Courier New"/>
      <w:sz w:val="18"/>
      <w:szCs w:val="20"/>
    </w:rPr>
  </w:style>
  <w:style w:type="character" w:styleId="1044" w:customStyle="1">
    <w:name w:val="页脚 Char"/>
    <w:link w:val="1043"/>
    <w:uiPriority w:val="99"/>
    <w:qFormat/>
    <w:rPr>
      <w:rFonts w:ascii="宋体" w:hAnsi="Courier New"/>
      <w:sz w:val="18"/>
    </w:rPr>
  </w:style>
  <w:style w:type="paragraph" w:styleId="1045" w:customStyle="1">
    <w:name w:val="页眉1"/>
    <w:basedOn w:val="833"/>
    <w:uiPriority w:val="0"/>
    <w:qFormat/>
    <w:pPr>
      <w:jc w:val="center"/>
      <w:tabs>
        <w:tab w:val="center" w:pos="4153" w:leader="none"/>
        <w:tab w:val="right" w:pos="8306" w:leader="none"/>
      </w:tabs>
      <w:pBdr>
        <w:bottom w:val="single" w:color="000000" w:sz="6" w:space="1"/>
      </w:pBdr>
    </w:pPr>
    <w:rPr>
      <w:sz w:val="18"/>
      <w:szCs w:val="18"/>
    </w:rPr>
  </w:style>
  <w:style w:type="paragraph" w:styleId="1046" w:customStyle="1">
    <w:name w:val="目录 11"/>
    <w:basedOn w:val="833"/>
    <w:next w:val="833"/>
    <w:uiPriority w:val="39"/>
    <w:qFormat/>
    <w:pPr>
      <w:jc w:val="left"/>
      <w:spacing w:before="120"/>
    </w:pPr>
    <w:rPr>
      <w:rFonts w:ascii="Calibri" w:hAnsi="Calibri"/>
      <w:b/>
      <w:bCs/>
      <w:i/>
      <w:iCs/>
      <w:sz w:val="24"/>
    </w:rPr>
  </w:style>
  <w:style w:type="paragraph" w:styleId="1047" w:customStyle="1">
    <w:name w:val="目录 41"/>
    <w:basedOn w:val="833"/>
    <w:next w:val="833"/>
    <w:uiPriority w:val="0"/>
    <w:qFormat/>
    <w:pPr>
      <w:ind w:left="630"/>
      <w:jc w:val="left"/>
    </w:pPr>
    <w:rPr>
      <w:rFonts w:ascii="Calibri" w:hAnsi="Calibri"/>
      <w:sz w:val="20"/>
      <w:szCs w:val="20"/>
    </w:rPr>
  </w:style>
  <w:style w:type="paragraph" w:styleId="1048" w:customStyle="1">
    <w:name w:val="副标题1"/>
    <w:basedOn w:val="833"/>
    <w:next w:val="833"/>
    <w:link w:val="1049"/>
    <w:uiPriority w:val="0"/>
    <w:qFormat/>
    <w:pPr>
      <w:jc w:val="center"/>
      <w:spacing w:before="240" w:after="60" w:line="312" w:lineRule="auto"/>
      <w:outlineLvl w:val="1"/>
    </w:pPr>
    <w:rPr>
      <w:rFonts w:ascii="Cambria" w:hAnsi="Cambria"/>
      <w:b/>
      <w:bCs/>
      <w:sz w:val="32"/>
      <w:szCs w:val="32"/>
    </w:rPr>
  </w:style>
  <w:style w:type="character" w:styleId="1049" w:customStyle="1">
    <w:name w:val="副标题 Char"/>
    <w:link w:val="1048"/>
    <w:uiPriority w:val="0"/>
    <w:qFormat/>
    <w:rPr>
      <w:rFonts w:ascii="Cambria" w:hAnsi="Cambria" w:cs="Times New Roman"/>
      <w:b/>
      <w:bCs/>
      <w:sz w:val="32"/>
      <w:szCs w:val="32"/>
    </w:rPr>
  </w:style>
  <w:style w:type="paragraph" w:styleId="1050" w:customStyle="1">
    <w:name w:val="目录 61"/>
    <w:basedOn w:val="833"/>
    <w:next w:val="833"/>
    <w:uiPriority w:val="0"/>
    <w:qFormat/>
    <w:pPr>
      <w:ind w:left="1050"/>
      <w:jc w:val="left"/>
    </w:pPr>
    <w:rPr>
      <w:rFonts w:ascii="Calibri" w:hAnsi="Calibri"/>
      <w:sz w:val="20"/>
      <w:szCs w:val="20"/>
    </w:rPr>
  </w:style>
  <w:style w:type="paragraph" w:styleId="1051" w:customStyle="1">
    <w:name w:val="正文文本缩进 31"/>
    <w:basedOn w:val="833"/>
    <w:uiPriority w:val="0"/>
    <w:qFormat/>
    <w:pPr>
      <w:ind w:left="360"/>
      <w:spacing w:line="400" w:lineRule="exact"/>
    </w:pPr>
    <w:rPr>
      <w:sz w:val="24"/>
    </w:rPr>
  </w:style>
  <w:style w:type="paragraph" w:styleId="1052" w:customStyle="1">
    <w:name w:val="目录 21"/>
    <w:basedOn w:val="833"/>
    <w:next w:val="833"/>
    <w:uiPriority w:val="39"/>
    <w:unhideWhenUsed/>
    <w:qFormat/>
    <w:pPr>
      <w:ind w:left="210"/>
      <w:jc w:val="left"/>
      <w:spacing w:before="120"/>
    </w:pPr>
    <w:rPr>
      <w:rFonts w:ascii="Calibri" w:hAnsi="Calibri"/>
      <w:b/>
      <w:bCs/>
      <w:sz w:val="22"/>
      <w:szCs w:val="22"/>
    </w:rPr>
  </w:style>
  <w:style w:type="paragraph" w:styleId="1053" w:customStyle="1">
    <w:name w:val="目录 91"/>
    <w:basedOn w:val="833"/>
    <w:next w:val="833"/>
    <w:uiPriority w:val="0"/>
    <w:qFormat/>
    <w:pPr>
      <w:ind w:left="1680"/>
      <w:jc w:val="left"/>
    </w:pPr>
    <w:rPr>
      <w:rFonts w:ascii="Calibri" w:hAnsi="Calibri"/>
      <w:sz w:val="20"/>
      <w:szCs w:val="20"/>
    </w:rPr>
  </w:style>
  <w:style w:type="paragraph" w:styleId="1054" w:customStyle="1">
    <w:name w:val="正文文本 21"/>
    <w:basedOn w:val="833"/>
    <w:uiPriority w:val="0"/>
    <w:qFormat/>
    <w:rPr>
      <w:rFonts w:ascii="宋体" w:hAnsi="Courier New"/>
      <w:sz w:val="13"/>
      <w:szCs w:val="20"/>
    </w:rPr>
  </w:style>
  <w:style w:type="paragraph" w:styleId="1055" w:customStyle="1">
    <w:name w:val="HTML 预设格式11"/>
    <w:basedOn w:val="833"/>
    <w:link w:val="105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56" w:customStyle="1">
    <w:name w:val="HTML 预设格式 Char"/>
    <w:link w:val="1055"/>
    <w:uiPriority w:val="0"/>
    <w:qFormat/>
    <w:rPr>
      <w:rFonts w:ascii="宋体" w:hAnsi="宋体" w:cs="宋体"/>
      <w:sz w:val="24"/>
      <w:szCs w:val="24"/>
    </w:rPr>
  </w:style>
  <w:style w:type="paragraph" w:styleId="1057" w:customStyle="1">
    <w:name w:val="普通(网站)11"/>
    <w:basedOn w:val="833"/>
    <w:uiPriority w:val="0"/>
    <w:qFormat/>
    <w:pPr>
      <w:jc w:val="left"/>
      <w:spacing w:before="100" w:beforeAutospacing="1" w:after="100" w:afterAutospacing="1"/>
      <w:widowControl/>
    </w:pPr>
    <w:rPr>
      <w:rFonts w:ascii="宋体" w:hAnsi="宋体"/>
      <w:sz w:val="24"/>
    </w:rPr>
  </w:style>
  <w:style w:type="paragraph" w:styleId="1058" w:customStyle="1">
    <w:name w:val="批注主题1"/>
    <w:basedOn w:val="1026"/>
    <w:next w:val="1026"/>
    <w:uiPriority w:val="0"/>
    <w:semiHidden/>
    <w:qFormat/>
    <w:rPr>
      <w:b/>
      <w:bCs/>
    </w:rPr>
  </w:style>
  <w:style w:type="paragraph" w:styleId="1059" w:customStyle="1">
    <w:name w:val="正文首行缩进1"/>
    <w:basedOn w:val="1029"/>
    <w:link w:val="1060"/>
    <w:uiPriority w:val="0"/>
    <w:qFormat/>
    <w:pPr>
      <w:ind w:firstLine="420"/>
      <w:spacing w:after="120"/>
    </w:pPr>
    <w:rPr>
      <w:rFonts w:ascii="Times New Roman" w:hAnsi="Times New Roman" w:eastAsia="宋体"/>
      <w:b w:val="0"/>
      <w:spacing w:val="0"/>
      <w:sz w:val="21"/>
      <w:szCs w:val="24"/>
    </w:rPr>
  </w:style>
  <w:style w:type="character" w:styleId="1060" w:customStyle="1">
    <w:name w:val="正文首行缩进 Char"/>
    <w:link w:val="1059"/>
    <w:uiPriority w:val="0"/>
    <w:qFormat/>
    <w:rPr>
      <w:rFonts w:eastAsia="宋体"/>
      <w:sz w:val="21"/>
      <w:szCs w:val="24"/>
      <w:lang w:val="en-US" w:eastAsia="zh-CN" w:bidi="ar-SA"/>
    </w:rPr>
  </w:style>
  <w:style w:type="table" w:styleId="1061" w:customStyle="1">
    <w:name w:val="网格型1"/>
    <w:basedOn w:val="1020"/>
    <w:uiPriority w:val="0"/>
    <w:qFormat/>
    <w:pPr>
      <w:jc w:val="both"/>
      <w:widowControl w:val="off"/>
    </w:pPr>
    <w:tblPr/>
  </w:style>
  <w:style w:type="character" w:styleId="1062" w:customStyle="1">
    <w:name w:val="要点1"/>
    <w:basedOn w:val="1019"/>
    <w:link w:val="833"/>
    <w:uiPriority w:val="0"/>
    <w:qFormat/>
    <w:rPr>
      <w:b/>
      <w:bCs/>
    </w:rPr>
  </w:style>
  <w:style w:type="character" w:styleId="1063" w:customStyle="1">
    <w:name w:val="页码1"/>
    <w:link w:val="833"/>
    <w:uiPriority w:val="0"/>
    <w:qFormat/>
  </w:style>
  <w:style w:type="character" w:styleId="1064" w:customStyle="1">
    <w:name w:val="已访问的超链接1"/>
    <w:link w:val="833"/>
    <w:uiPriority w:val="0"/>
    <w:qFormat/>
    <w:rPr>
      <w:color w:val="800080"/>
      <w:u w:val="none"/>
    </w:rPr>
  </w:style>
  <w:style w:type="character" w:styleId="1065" w:customStyle="1">
    <w:name w:val="强调1"/>
    <w:basedOn w:val="1019"/>
    <w:link w:val="833"/>
    <w:uiPriority w:val="0"/>
    <w:qFormat/>
    <w:rPr>
      <w:b/>
      <w:bCs/>
    </w:rPr>
  </w:style>
  <w:style w:type="character" w:styleId="1066" w:customStyle="1">
    <w:name w:val="HTML 定义1"/>
    <w:link w:val="833"/>
    <w:uiPriority w:val="0"/>
    <w:qFormat/>
  </w:style>
  <w:style w:type="character" w:styleId="1067" w:customStyle="1">
    <w:name w:val="HTML 打字机1"/>
    <w:link w:val="833"/>
    <w:uiPriority w:val="0"/>
    <w:qFormat/>
    <w:rPr>
      <w:rFonts w:ascii="monospace" w:hAnsi="monospace" w:eastAsia="monospace" w:cs="monospace"/>
      <w:sz w:val="20"/>
    </w:rPr>
  </w:style>
  <w:style w:type="character" w:styleId="1068" w:customStyle="1">
    <w:name w:val="HTML 缩写1"/>
    <w:basedOn w:val="1019"/>
    <w:link w:val="833"/>
    <w:uiPriority w:val="0"/>
    <w:qFormat/>
  </w:style>
  <w:style w:type="character" w:styleId="1069" w:customStyle="1">
    <w:name w:val="HTML 变量1"/>
    <w:link w:val="833"/>
    <w:uiPriority w:val="0"/>
    <w:qFormat/>
  </w:style>
  <w:style w:type="character" w:styleId="1070" w:customStyle="1">
    <w:name w:val="超链接1"/>
    <w:link w:val="833"/>
    <w:uiPriority w:val="99"/>
    <w:qFormat/>
    <w:rPr>
      <w:color w:val="0000ff"/>
      <w:u w:val="none"/>
    </w:rPr>
  </w:style>
  <w:style w:type="character" w:styleId="1071" w:customStyle="1">
    <w:name w:val="HTML 代码1"/>
    <w:link w:val="833"/>
    <w:uiPriority w:val="0"/>
    <w:qFormat/>
    <w:rPr>
      <w:rFonts w:ascii="monospace" w:hAnsi="monospace" w:eastAsia="monospace" w:cs="monospace"/>
      <w:sz w:val="20"/>
    </w:rPr>
  </w:style>
  <w:style w:type="character" w:styleId="1072" w:customStyle="1">
    <w:name w:val="批注引用1"/>
    <w:link w:val="833"/>
    <w:uiPriority w:val="0"/>
    <w:qFormat/>
    <w:rPr>
      <w:sz w:val="21"/>
      <w:szCs w:val="21"/>
    </w:rPr>
  </w:style>
  <w:style w:type="character" w:styleId="1073" w:customStyle="1">
    <w:name w:val="HTML 引文1"/>
    <w:link w:val="833"/>
    <w:uiPriority w:val="0"/>
    <w:qFormat/>
  </w:style>
  <w:style w:type="character" w:styleId="1074" w:customStyle="1">
    <w:name w:val="HTML 键盘1"/>
    <w:link w:val="833"/>
    <w:uiPriority w:val="0"/>
    <w:qFormat/>
    <w:rPr>
      <w:rFonts w:ascii="monospace" w:hAnsi="monospace" w:eastAsia="monospace" w:cs="monospace"/>
      <w:sz w:val="20"/>
    </w:rPr>
  </w:style>
  <w:style w:type="character" w:styleId="1075" w:customStyle="1">
    <w:name w:val="HTML 样本1"/>
    <w:link w:val="833"/>
    <w:uiPriority w:val="0"/>
    <w:qFormat/>
    <w:rPr>
      <w:rFonts w:ascii="monospace" w:hAnsi="monospace" w:eastAsia="monospace" w:cs="monospace"/>
    </w:rPr>
  </w:style>
  <w:style w:type="paragraph" w:styleId="1076" w:customStyle="1">
    <w:name w:val="正文首行缩进11"/>
    <w:basedOn w:val="1077"/>
    <w:next w:val="833"/>
    <w:uiPriority w:val="99"/>
    <w:unhideWhenUsed/>
    <w:qFormat/>
    <w:pPr>
      <w:ind w:firstLine="420"/>
    </w:pPr>
    <w:rPr>
      <w:szCs w:val="24"/>
    </w:rPr>
  </w:style>
  <w:style w:type="paragraph" w:styleId="1077" w:customStyle="1">
    <w:name w:val="正文文本111"/>
    <w:basedOn w:val="833"/>
    <w:next w:val="833"/>
    <w:uiPriority w:val="0"/>
    <w:qFormat/>
    <w:rPr>
      <w:rFonts w:eastAsia="楷体_GB2312"/>
      <w:b/>
      <w:bCs/>
      <w:color w:val="ff0000"/>
      <w:sz w:val="32"/>
      <w:szCs w:val="32"/>
      <w:lang w:val="zh-CN"/>
    </w:rPr>
  </w:style>
  <w:style w:type="character" w:styleId="1078" w:customStyle="1">
    <w:name w:val="Default Char"/>
    <w:link w:val="845"/>
    <w:uiPriority w:val="99"/>
    <w:qFormat/>
    <w:rPr>
      <w:rFonts w:ascii="MS Mincho" w:hAnsi="Calibri"/>
      <w:color w:val="000000"/>
      <w:sz w:val="21"/>
      <w:szCs w:val="24"/>
      <w:lang w:val="en-US" w:eastAsia="zh-CN" w:bidi="ar-SA"/>
    </w:rPr>
  </w:style>
  <w:style w:type="character" w:styleId="1079" w:customStyle="1">
    <w:name w:val="纯文本 Char1"/>
    <w:link w:val="833"/>
    <w:uiPriority w:val="0"/>
    <w:qFormat/>
    <w:rPr>
      <w:rFonts w:ascii="宋体" w:hAnsi="Courier New"/>
      <w:sz w:val="21"/>
    </w:rPr>
  </w:style>
  <w:style w:type="character" w:styleId="1080" w:customStyle="1">
    <w:name w:val="ca-72"/>
    <w:link w:val="833"/>
    <w:uiPriority w:val="0"/>
    <w:qFormat/>
  </w:style>
  <w:style w:type="character" w:styleId="1081" w:customStyle="1">
    <w:name w:val="font"/>
    <w:link w:val="833"/>
    <w:uiPriority w:val="0"/>
    <w:qFormat/>
    <w:rPr>
      <w:rFonts w:cs="Times New Roman"/>
    </w:rPr>
  </w:style>
  <w:style w:type="character" w:styleId="1082" w:customStyle="1">
    <w:name w:val="ca-412"/>
    <w:link w:val="833"/>
    <w:uiPriority w:val="0"/>
    <w:qFormat/>
  </w:style>
  <w:style w:type="character" w:styleId="1083" w:customStyle="1">
    <w:name w:val=" Char Char4"/>
    <w:link w:val="833"/>
    <w:uiPriority w:val="0"/>
    <w:qFormat/>
    <w:rPr>
      <w:b/>
      <w:bCs/>
      <w:sz w:val="24"/>
      <w:szCs w:val="24"/>
    </w:rPr>
  </w:style>
  <w:style w:type="character" w:styleId="1084" w:customStyle="1">
    <w:name w:val="普通正文 Char"/>
    <w:link w:val="1085"/>
    <w:uiPriority w:val="0"/>
    <w:qFormat/>
    <w:rPr>
      <w:rFonts w:ascii="Arial" w:hAnsi="Arial"/>
      <w:sz w:val="24"/>
      <w:szCs w:val="24"/>
    </w:rPr>
  </w:style>
  <w:style w:type="paragraph" w:styleId="1085" w:customStyle="1">
    <w:name w:val="普通正文"/>
    <w:basedOn w:val="833"/>
    <w:link w:val="1084"/>
    <w:uiPriority w:val="0"/>
    <w:qFormat/>
    <w:pPr>
      <w:ind w:firstLine="480"/>
      <w:jc w:val="left"/>
      <w:spacing w:before="120" w:after="120" w:line="360" w:lineRule="auto"/>
    </w:pPr>
    <w:rPr>
      <w:rFonts w:ascii="Arial" w:hAnsi="Arial"/>
      <w:sz w:val="24"/>
    </w:rPr>
  </w:style>
  <w:style w:type="character" w:styleId="1086" w:customStyle="1">
    <w:name w:val="普通文字1 Char1"/>
    <w:link w:val="833"/>
    <w:uiPriority w:val="0"/>
    <w:qFormat/>
    <w:rPr>
      <w:rFonts w:ascii="宋体" w:hAnsi="Courier New" w:eastAsia="宋体"/>
      <w:sz w:val="21"/>
      <w:lang w:val="en-US" w:eastAsia="zh-CN" w:bidi="ar-SA"/>
    </w:rPr>
  </w:style>
  <w:style w:type="character" w:styleId="1087" w:customStyle="1">
    <w:name w:val="apple-style-span"/>
    <w:link w:val="833"/>
    <w:uiPriority w:val="0"/>
    <w:qFormat/>
  </w:style>
  <w:style w:type="character" w:styleId="1088" w:customStyle="1">
    <w:name w:val="1 Char"/>
    <w:link w:val="1089"/>
    <w:uiPriority w:val="0"/>
    <w:qFormat/>
    <w:rPr>
      <w:sz w:val="21"/>
      <w:szCs w:val="24"/>
    </w:rPr>
  </w:style>
  <w:style w:type="paragraph" w:styleId="1089" w:customStyle="1">
    <w:name w:val="1"/>
    <w:basedOn w:val="833"/>
    <w:link w:val="1088"/>
    <w:uiPriority w:val="0"/>
    <w:qFormat/>
    <w:pPr>
      <w:ind w:firstLine="0"/>
      <w:jc w:val="left"/>
    </w:pPr>
  </w:style>
  <w:style w:type="paragraph" w:styleId="1090" w:customStyle="1">
    <w:name w:val="列出段落1"/>
    <w:basedOn w:val="833"/>
    <w:uiPriority w:val="0"/>
    <w:qFormat/>
    <w:pPr>
      <w:ind w:firstLine="420"/>
    </w:pPr>
    <w:rPr>
      <w:rFonts w:ascii="Calibri" w:hAnsi="Calibri"/>
      <w:szCs w:val="22"/>
    </w:rPr>
  </w:style>
  <w:style w:type="paragraph" w:styleId="1091" w:customStyle="1">
    <w:name w:val="Char"/>
    <w:basedOn w:val="833"/>
    <w:uiPriority w:val="0"/>
    <w:qFormat/>
    <w:pPr>
      <w:jc w:val="left"/>
      <w:spacing w:after="160" w:line="240" w:lineRule="exact"/>
      <w:widowControl/>
    </w:pPr>
    <w:rPr>
      <w:rFonts w:ascii="Arial" w:hAnsi="Arial" w:eastAsia="Times New Roman" w:cs="Verdana"/>
      <w:b/>
      <w:sz w:val="24"/>
      <w:szCs w:val="20"/>
      <w:lang w:eastAsia="en-US"/>
    </w:rPr>
  </w:style>
  <w:style w:type="paragraph" w:styleId="1092" w:customStyle="1">
    <w:name w:val="Table Paragraph"/>
    <w:basedOn w:val="833"/>
    <w:uiPriority w:val="99"/>
    <w:qFormat/>
    <w:pPr>
      <w:jc w:val="left"/>
    </w:pPr>
    <w:rPr>
      <w:sz w:val="24"/>
    </w:rPr>
  </w:style>
  <w:style w:type="paragraph" w:styleId="1093" w:customStyle="1">
    <w:name w:val="g3"/>
    <w:basedOn w:val="833"/>
    <w:uiPriority w:val="0"/>
    <w:qFormat/>
    <w:pPr>
      <w:jc w:val="left"/>
      <w:spacing w:before="100" w:beforeAutospacing="1" w:after="100" w:afterAutospacing="1" w:line="675" w:lineRule="atLeast"/>
      <w:widowControl/>
    </w:pPr>
    <w:rPr>
      <w:rFonts w:hint="eastAsia" w:ascii="华文中宋" w:hAnsi="华文中宋" w:eastAsia="华文中宋"/>
      <w:sz w:val="42"/>
      <w:szCs w:val="42"/>
    </w:rPr>
  </w:style>
  <w:style w:type="paragraph" w:styleId="1094" w:customStyle="1">
    <w:name w:val="HTML 预设格式1"/>
    <w:basedOn w:val="83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095" w:customStyle="1">
    <w:name w:val="列出段落"/>
    <w:basedOn w:val="833"/>
    <w:uiPriority w:val="0"/>
    <w:qFormat/>
    <w:pPr>
      <w:ind w:firstLine="420"/>
    </w:pPr>
  </w:style>
  <w:style w:type="paragraph" w:styleId="1096" w:customStyle="1">
    <w:name w:val="ecxmsonormal"/>
    <w:basedOn w:val="833"/>
    <w:uiPriority w:val="0"/>
    <w:qFormat/>
    <w:pPr>
      <w:jc w:val="left"/>
      <w:spacing w:after="324"/>
      <w:widowControl/>
    </w:pPr>
    <w:rPr>
      <w:rFonts w:ascii="宋体" w:hAnsi="宋体" w:cs="宋体"/>
      <w:sz w:val="24"/>
    </w:rPr>
  </w:style>
  <w:style w:type="paragraph" w:styleId="1097" w:customStyle="1">
    <w:name w:val="Char1"/>
    <w:basedOn w:val="833"/>
    <w:uiPriority w:val="0"/>
    <w:qFormat/>
    <w:pPr>
      <w:tabs>
        <w:tab w:val="left" w:pos="360" w:leader="none"/>
      </w:tabs>
    </w:pPr>
    <w:rPr>
      <w:sz w:val="24"/>
    </w:rPr>
  </w:style>
  <w:style w:type="paragraph" w:styleId="1098" w:customStyle="1">
    <w:name w:val="para"/>
    <w:basedOn w:val="833"/>
    <w:uiPriority w:val="0"/>
    <w:qFormat/>
    <w:pPr>
      <w:ind w:firstLine="425"/>
      <w:spacing w:before="160" w:line="360" w:lineRule="auto"/>
      <w:widowControl/>
    </w:pPr>
    <w:rPr>
      <w:sz w:val="24"/>
      <w:szCs w:val="20"/>
      <w:lang w:eastAsia="en-US"/>
    </w:rPr>
  </w:style>
  <w:style w:type="paragraph" w:styleId="1099" w:customStyle="1">
    <w:name w:val="TOC 标题"/>
    <w:basedOn w:val="1015"/>
    <w:next w:val="833"/>
    <w:uiPriority w:val="39"/>
    <w:qFormat/>
    <w:pPr>
      <w:numPr>
        <w:ilvl w:val="0"/>
        <w:numId w:val="0"/>
      </w:numPr>
      <w:jc w:val="left"/>
      <w:spacing w:before="480" w:line="276" w:lineRule="auto"/>
      <w:widowControl/>
      <w:outlineLvl w:val="9"/>
    </w:pPr>
    <w:rPr>
      <w:rFonts w:ascii="Cambria" w:hAnsi="Cambria" w:eastAsia="宋体" w:cs="Times New Roman"/>
      <w:bCs/>
      <w:color w:val="365f91"/>
      <w:szCs w:val="28"/>
    </w:rPr>
  </w:style>
  <w:style w:type="paragraph" w:styleId="1100" w:customStyle="1">
    <w:name w:val="table_1stline"/>
    <w:basedOn w:val="833"/>
    <w:uiPriority w:val="0"/>
    <w:qFormat/>
    <w:pPr>
      <w:jc w:val="left"/>
      <w:spacing w:before="120"/>
      <w:widowControl/>
    </w:pPr>
    <w:rPr>
      <w:rFonts w:eastAsia="MS Mincho"/>
      <w:bCs/>
      <w:sz w:val="20"/>
      <w:szCs w:val="20"/>
      <w:lang w:val="de-DE" w:eastAsia="de-DE"/>
    </w:rPr>
  </w:style>
  <w:style w:type="paragraph" w:styleId="1101" w:customStyle="1">
    <w:name w:val="Char Char1 Char Char Char"/>
    <w:basedOn w:val="833"/>
    <w:uiPriority w:val="0"/>
    <w:qFormat/>
    <w:rPr>
      <w:szCs w:val="20"/>
    </w:rPr>
  </w:style>
  <w:style w:type="paragraph" w:styleId="1102" w:customStyle="1">
    <w:name w:val="Char Char Char Char1 Char Char Char"/>
    <w:basedOn w:val="833"/>
    <w:uiPriority w:val="0"/>
    <w:qFormat/>
    <w:rPr>
      <w:rFonts w:ascii="Tahoma" w:hAnsi="Tahoma"/>
      <w:sz w:val="24"/>
      <w:szCs w:val="20"/>
    </w:rPr>
  </w:style>
  <w:style w:type="paragraph" w:styleId="1103" w:customStyle="1">
    <w:name w:val="p0"/>
    <w:basedOn w:val="833"/>
    <w:uiPriority w:val="0"/>
    <w:qFormat/>
    <w:pPr>
      <w:jc w:val="left"/>
      <w:spacing w:before="100" w:beforeAutospacing="1" w:after="100" w:afterAutospacing="1"/>
      <w:widowControl/>
    </w:pPr>
    <w:rPr>
      <w:rFonts w:ascii="宋体" w:hAnsi="宋体" w:cs="宋体"/>
      <w:sz w:val="24"/>
    </w:rPr>
  </w:style>
  <w:style w:type="paragraph" w:styleId="1104" w:customStyle="1">
    <w:name w:val="Char Char Char Char1"/>
    <w:basedOn w:val="833"/>
    <w:uiPriority w:val="0"/>
    <w:qFormat/>
    <w:rPr>
      <w:rFonts w:ascii="Tahoma" w:hAnsi="Tahoma"/>
      <w:sz w:val="24"/>
      <w:szCs w:val="20"/>
    </w:rPr>
  </w:style>
  <w:style w:type="paragraph" w:styleId="1105" w:customStyle="1">
    <w:name w:val="pa-5"/>
    <w:basedOn w:val="833"/>
    <w:uiPriority w:val="0"/>
    <w:qFormat/>
    <w:pPr>
      <w:jc w:val="left"/>
      <w:spacing w:before="100" w:beforeAutospacing="1" w:after="100" w:afterAutospacing="1"/>
      <w:widowControl/>
    </w:pPr>
    <w:rPr>
      <w:rFonts w:ascii="宋体" w:hAnsi="宋体" w:cs="宋体"/>
      <w:sz w:val="24"/>
    </w:rPr>
  </w:style>
  <w:style w:type="paragraph" w:styleId="1106" w:customStyle="1">
    <w:name w:val="p15"/>
    <w:basedOn w:val="833"/>
    <w:uiPriority w:val="0"/>
    <w:qFormat/>
    <w:pPr>
      <w:widowControl/>
    </w:pPr>
    <w:rPr>
      <w:rFonts w:ascii="Calibri" w:hAnsi="Calibri" w:cs="宋体"/>
      <w:szCs w:val="21"/>
    </w:rPr>
  </w:style>
  <w:style w:type="paragraph" w:styleId="1107"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8" w:customStyle="1">
    <w:name w:val="纯文本1"/>
    <w:basedOn w:val="833"/>
    <w:uiPriority w:val="0"/>
    <w:qFormat/>
    <w:rPr>
      <w:rFonts w:ascii="宋体" w:hAnsi="Courier New"/>
    </w:rPr>
  </w:style>
  <w:style w:type="paragraph" w:styleId="1109" w:customStyle="1">
    <w:name w:val="修订"/>
    <w:uiPriority w:val="99"/>
    <w:unhideWhenUsed/>
    <w:qFormat/>
    <w:rPr>
      <w:rFonts w:hint="default" w:ascii="Times New Roman" w:hAnsi="Times New Roman" w:eastAsia="宋体" w:cs="Times New Roman"/>
      <w:sz w:val="21"/>
      <w:szCs w:val="24"/>
      <w:lang w:val="en-US" w:eastAsia="zh-CN" w:bidi="ar-SA"/>
    </w:rPr>
  </w:style>
  <w:style w:type="paragraph" w:styleId="1110" w:customStyle="1">
    <w:name w:val="段"/>
    <w:next w:val="833"/>
    <w:uiPriority w:val="0"/>
    <w:qFormat/>
    <w:pPr>
      <w:ind w:firstLine="200"/>
      <w:jc w:val="both"/>
    </w:pPr>
    <w:rPr>
      <w:rFonts w:hint="default" w:ascii="宋体" w:hAnsi="Times New Roman" w:eastAsia="宋体" w:cs="Times New Roman"/>
      <w:sz w:val="21"/>
      <w:lang w:val="en-US" w:eastAsia="zh-CN" w:bidi="ar-SA"/>
    </w:rPr>
  </w:style>
  <w:style w:type="table" w:styleId="1111" w:customStyle="1">
    <w:name w:val="Table Normal"/>
    <w:uiPriority w:val="0"/>
    <w:unhideWhenUsed/>
    <w:qFormat/>
    <w:rPr>
      <w:lang w:val="en-US" w:eastAsia="zh-CN" w:bidi="ar-SA"/>
    </w:rPr>
    <w:tblPr/>
  </w:style>
  <w:style w:type="paragraph" w:styleId="1112" w:customStyle="1">
    <w:name w:val="_Style 1"/>
    <w:basedOn w:val="833"/>
    <w:uiPriority w:val="99"/>
    <w:qFormat/>
    <w:pPr>
      <w:ind w:firstLine="420"/>
    </w:pPr>
    <w:rPr>
      <w:szCs w:val="20"/>
    </w:rPr>
  </w:style>
  <w:style w:type="character" w:styleId="1113" w:customStyle="1">
    <w:name w:val="hover"/>
    <w:basedOn w:val="1019"/>
    <w:link w:val="833"/>
    <w:uiPriority w:val="0"/>
    <w:qFormat/>
    <w:rPr>
      <w:color w:val="5fb878"/>
    </w:rPr>
  </w:style>
  <w:style w:type="character" w:styleId="1114" w:customStyle="1">
    <w:name w:val="hover1"/>
    <w:basedOn w:val="1019"/>
    <w:link w:val="833"/>
    <w:uiPriority w:val="0"/>
    <w:qFormat/>
    <w:rPr>
      <w:color w:val="5fb878"/>
    </w:rPr>
  </w:style>
  <w:style w:type="character" w:styleId="1115" w:customStyle="1">
    <w:name w:val="hover2"/>
    <w:basedOn w:val="1019"/>
    <w:link w:val="833"/>
    <w:uiPriority w:val="0"/>
    <w:qFormat/>
    <w:rPr>
      <w:color w:val="ffffff"/>
    </w:rPr>
  </w:style>
  <w:style w:type="paragraph" w:styleId="1116" w:customStyle="1">
    <w:name w:val="Table Text"/>
    <w:basedOn w:val="833"/>
    <w:uiPriority w:val="0"/>
    <w:semiHidden/>
    <w:qFormat/>
    <w:rPr>
      <w:rFonts w:ascii="宋体" w:hAnsi="宋体" w:eastAsia="宋体" w:cs="宋体"/>
      <w:sz w:val="14"/>
      <w:szCs w:val="14"/>
      <w:lang w:val="en-US" w:eastAsia="en-US" w:bidi="ar-SA"/>
    </w:rPr>
  </w:style>
  <w:style w:type="character" w:styleId="1117" w:customStyle="1">
    <w:name w:val="font21"/>
    <w:basedOn w:val="1019"/>
    <w:link w:val="833"/>
    <w:uiPriority w:val="0"/>
    <w:qFormat/>
    <w:rPr>
      <w:rFonts w:hint="eastAsia" w:ascii="微软雅黑" w:hAnsi="微软雅黑" w:eastAsia="微软雅黑" w:cs="微软雅黑"/>
      <w:color w:val="000000"/>
      <w:sz w:val="20"/>
      <w:szCs w:val="20"/>
      <w:u w:val="none"/>
    </w:rPr>
  </w:style>
  <w:style w:type="paragraph" w:styleId="1118" w:customStyle="1">
    <w:name w:val="索引 41"/>
    <w:basedOn w:val="833"/>
    <w:next w:val="833"/>
    <w:uiPriority w:val="0"/>
    <w:semiHidden/>
    <w:qFormat/>
    <w:pPr>
      <w:ind w:left="600" w:firstLine="480"/>
      <w:spacing w:before="120" w:after="120" w:line="288" w:lineRule="auto"/>
      <w:tabs>
        <w:tab w:val="left" w:pos="1440" w:leader="none"/>
        <w:tab w:val="right" w:pos="8505" w:leader="dot"/>
      </w:tabs>
    </w:pPr>
  </w:style>
  <w:style w:type="paragraph" w:styleId="1119" w:customStyle="1">
    <w:name w:val="普通(网站)1"/>
    <w:basedOn w:val="833"/>
    <w:uiPriority w:val="0"/>
    <w:qFormat/>
    <w:pPr>
      <w:jc w:val="left"/>
      <w:spacing w:before="100" w:beforeAutospacing="1" w:after="100" w:afterAutospacing="1"/>
      <w:widowControl/>
    </w:pPr>
    <w:rPr>
      <w:rFonts w:ascii="宋体" w:hAnsi="宋体"/>
      <w:sz w:val="24"/>
    </w:rPr>
  </w:style>
  <w:style w:type="character" w:styleId="1120" w:customStyle="1">
    <w:name w:val="font41"/>
    <w:basedOn w:val="1019"/>
    <w:link w:val="833"/>
    <w:uiPriority w:val="0"/>
    <w:qFormat/>
    <w:rPr>
      <w:rFonts w:hint="eastAsia" w:ascii="宋体" w:hAnsi="宋体" w:eastAsia="宋体" w:cs="宋体"/>
      <w:color w:val="000000"/>
      <w:sz w:val="18"/>
      <w:szCs w:val="18"/>
      <w:u w:val="none"/>
    </w:rPr>
  </w:style>
  <w:style w:type="character" w:styleId="1121" w:customStyle="1">
    <w:name w:val="font31"/>
    <w:basedOn w:val="843"/>
    <w:uiPriority w:val="0"/>
    <w:qFormat/>
    <w:rPr>
      <w:rFonts w:hint="eastAsia" w:ascii="宋体" w:hAnsi="宋体" w:eastAsia="宋体" w:cs="宋体"/>
      <w:color w:val="000000"/>
      <w:sz w:val="18"/>
      <w:szCs w:val="18"/>
      <w:u w:val="none"/>
    </w:rPr>
  </w:style>
  <w:style w:type="character" w:styleId="1122" w:customStyle="1">
    <w:name w:val="font101"/>
    <w:basedOn w:val="843"/>
    <w:uiPriority w:val="0"/>
    <w:qFormat/>
    <w:rPr>
      <w:rFonts w:ascii="Calibri" w:hAnsi="Calibri" w:cs="Calibri"/>
      <w:color w:val="000000"/>
      <w:sz w:val="18"/>
      <w:szCs w:val="18"/>
      <w:u w:val="none"/>
    </w:rPr>
  </w:style>
  <w:style w:type="character" w:styleId="1123" w:customStyle="1">
    <w:name w:val="font112"/>
    <w:basedOn w:val="843"/>
    <w:uiPriority w:val="0"/>
    <w:qFormat/>
    <w:rPr>
      <w:rFonts w:hint="default" w:ascii="Calibri" w:hAnsi="Calibri" w:cs="Calibri"/>
      <w:color w:val="000000"/>
      <w:sz w:val="18"/>
      <w:szCs w:val="18"/>
      <w:u w:val="none"/>
    </w:rPr>
  </w:style>
  <w:style w:type="character" w:styleId="1124" w:customStyle="1">
    <w:name w:val="font121"/>
    <w:basedOn w:val="843"/>
    <w:uiPriority w:val="0"/>
    <w:qFormat/>
    <w:rPr>
      <w:rFonts w:ascii="Arial" w:hAnsi="Arial" w:cs="Arial"/>
      <w:color w:val="000000"/>
      <w:sz w:val="18"/>
      <w:szCs w:val="18"/>
      <w:u w:val="none"/>
    </w:rPr>
  </w:style>
  <w:style w:type="numbering" w:styleId="11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dc:title>
  <dc:creator>连云港市政</dc:creator>
  <cp:lastModifiedBy>卜思允</cp:lastModifiedBy>
  <cp:revision>5</cp:revision>
  <dcterms:created xsi:type="dcterms:W3CDTF">2018-04-11T08:30:00Z</dcterms:created>
  <dcterms:modified xsi:type="dcterms:W3CDTF">2025-09-01T06:34:10Z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eyJoZGlkIjoiZTY4MDdmYjg4M2ZhNjQ1YTViNjI5YzUzMTk5NTI4Y2IiLCJ1c2VySWQiOiIzNDYyNjUwNjEifQ==</vt:lpwstr>
  </property>
  <property fmtid="{D5CDD505-2E9C-101B-9397-08002B2CF9AE}" pid="3" name="KSOProductBuildVer">
    <vt:lpwstr>2052-12.1.0.22215</vt:lpwstr>
  </property>
  <property fmtid="{D5CDD505-2E9C-101B-9397-08002B2CF9AE}" pid="4" name="ICV">
    <vt:lpwstr>A89432B8B38E412DAAFF3283EFF93804_13</vt:lpwstr>
  </property>
</Properties>
</file>